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4B35FAD" w14:textId="6DC61254" w:rsidR="00C322D6" w:rsidRDefault="00BE0A86" w:rsidP="00BE0A86">
      <w:r>
        <w:t xml:space="preserve"> </w:t>
      </w:r>
      <w:r>
        <w:rPr>
          <w:noProof/>
          <w:lang w:eastAsia="en-CA"/>
        </w:rPr>
        <w:drawing>
          <wp:anchor distT="0" distB="0" distL="114300" distR="114300" simplePos="0" relativeHeight="251677696" behindDoc="0" locked="0" layoutInCell="1" allowOverlap="1" wp14:anchorId="0D62E233" wp14:editId="512E067C">
            <wp:simplePos x="0" y="914400"/>
            <wp:positionH relativeFrom="margin">
              <wp:align>center</wp:align>
            </wp:positionH>
            <wp:positionV relativeFrom="margin">
              <wp:align>center</wp:align>
            </wp:positionV>
            <wp:extent cx="7790180" cy="10080625"/>
            <wp:effectExtent l="0" t="0" r="1270" b="0"/>
            <wp:wrapSquare wrapText="bothSides"/>
            <wp:docPr id="2" name="Picture 2" descr="W:\Research and Planning Team\BouMinSea - Energy Transition Strategy\06 - Reports\03 - Energy System Transformation Strategies\Minneapolis Neighborhood Profile cover -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Research and Planning Team\BouMinSea - Energy Transition Strategy\06 - Reports\03 - Energy System Transformation Strategies\Minneapolis Neighborhood Profile cover - 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90180" cy="100806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1EFC7C" w14:textId="77777777" w:rsidR="00DB29B4" w:rsidRPr="00DB29B4" w:rsidRDefault="00DB29B4" w:rsidP="00DB29B4">
      <w:pPr>
        <w:pStyle w:val="TOC1"/>
      </w:pPr>
      <w:r w:rsidRPr="00DB29B4">
        <w:lastRenderedPageBreak/>
        <w:t>TABLE OF CONTENTS</w:t>
      </w:r>
    </w:p>
    <w:p w14:paraId="50A625DB" w14:textId="77777777" w:rsidR="008A47E8" w:rsidRDefault="00DB29B4">
      <w:pPr>
        <w:pStyle w:val="TOC1"/>
        <w:rPr>
          <w:rFonts w:asciiTheme="minorHAnsi" w:eastAsiaTheme="minorEastAsia" w:hAnsiTheme="minorHAnsi"/>
          <w:b w:val="0"/>
          <w:bCs w:val="0"/>
          <w:caps w:val="0"/>
          <w:noProof/>
          <w:sz w:val="22"/>
          <w:szCs w:val="22"/>
          <w:lang w:eastAsia="en-CA"/>
        </w:rPr>
      </w:pPr>
      <w:r w:rsidRPr="00DB29B4">
        <w:rPr>
          <w:sz w:val="24"/>
          <w:szCs w:val="24"/>
        </w:rPr>
        <w:fldChar w:fldCharType="begin"/>
      </w:r>
      <w:r w:rsidRPr="00DB29B4">
        <w:rPr>
          <w:sz w:val="24"/>
          <w:szCs w:val="24"/>
        </w:rPr>
        <w:instrText xml:space="preserve"> TOC \o "1-3" \h \z \u </w:instrText>
      </w:r>
      <w:r w:rsidRPr="00DB29B4">
        <w:rPr>
          <w:sz w:val="24"/>
          <w:szCs w:val="24"/>
        </w:rPr>
        <w:fldChar w:fldCharType="separate"/>
      </w:r>
      <w:hyperlink w:anchor="_Toc460348769" w:history="1">
        <w:r w:rsidR="008A47E8" w:rsidRPr="00B12A51">
          <w:rPr>
            <w:rStyle w:val="Hyperlink"/>
            <w:noProof/>
          </w:rPr>
          <w:t>1</w:t>
        </w:r>
        <w:r w:rsidR="008A47E8">
          <w:rPr>
            <w:rFonts w:asciiTheme="minorHAnsi" w:eastAsiaTheme="minorEastAsia" w:hAnsiTheme="minorHAnsi"/>
            <w:b w:val="0"/>
            <w:bCs w:val="0"/>
            <w:caps w:val="0"/>
            <w:noProof/>
            <w:sz w:val="22"/>
            <w:szCs w:val="22"/>
            <w:lang w:eastAsia="en-CA"/>
          </w:rPr>
          <w:tab/>
        </w:r>
        <w:r w:rsidR="008A47E8" w:rsidRPr="00B12A51">
          <w:rPr>
            <w:rStyle w:val="Hyperlink"/>
            <w:noProof/>
          </w:rPr>
          <w:t>Introduction</w:t>
        </w:r>
        <w:r w:rsidR="008A47E8">
          <w:rPr>
            <w:noProof/>
            <w:webHidden/>
          </w:rPr>
          <w:tab/>
        </w:r>
        <w:r w:rsidR="008A47E8">
          <w:rPr>
            <w:noProof/>
            <w:webHidden/>
          </w:rPr>
          <w:fldChar w:fldCharType="begin"/>
        </w:r>
        <w:r w:rsidR="008A47E8">
          <w:rPr>
            <w:noProof/>
            <w:webHidden/>
          </w:rPr>
          <w:instrText xml:space="preserve"> PAGEREF _Toc460348769 \h </w:instrText>
        </w:r>
        <w:r w:rsidR="008A47E8">
          <w:rPr>
            <w:noProof/>
            <w:webHidden/>
          </w:rPr>
        </w:r>
        <w:r w:rsidR="008A47E8">
          <w:rPr>
            <w:noProof/>
            <w:webHidden/>
          </w:rPr>
          <w:fldChar w:fldCharType="separate"/>
        </w:r>
        <w:r w:rsidR="00394D4A">
          <w:rPr>
            <w:noProof/>
            <w:webHidden/>
          </w:rPr>
          <w:t>1</w:t>
        </w:r>
        <w:r w:rsidR="008A47E8">
          <w:rPr>
            <w:noProof/>
            <w:webHidden/>
          </w:rPr>
          <w:fldChar w:fldCharType="end"/>
        </w:r>
      </w:hyperlink>
    </w:p>
    <w:p w14:paraId="11071728" w14:textId="77777777" w:rsidR="008A47E8" w:rsidRDefault="008A47E8">
      <w:pPr>
        <w:pStyle w:val="TOC1"/>
        <w:rPr>
          <w:rFonts w:asciiTheme="minorHAnsi" w:eastAsiaTheme="minorEastAsia" w:hAnsiTheme="minorHAnsi"/>
          <w:b w:val="0"/>
          <w:bCs w:val="0"/>
          <w:caps w:val="0"/>
          <w:noProof/>
          <w:sz w:val="22"/>
          <w:szCs w:val="22"/>
          <w:lang w:eastAsia="en-CA"/>
        </w:rPr>
      </w:pPr>
      <w:hyperlink w:anchor="_Toc460348770" w:history="1">
        <w:r w:rsidRPr="00B12A51">
          <w:rPr>
            <w:rStyle w:val="Hyperlink"/>
            <w:noProof/>
          </w:rPr>
          <w:t>2</w:t>
        </w:r>
        <w:r>
          <w:rPr>
            <w:rFonts w:asciiTheme="minorHAnsi" w:eastAsiaTheme="minorEastAsia" w:hAnsiTheme="minorHAnsi"/>
            <w:b w:val="0"/>
            <w:bCs w:val="0"/>
            <w:caps w:val="0"/>
            <w:noProof/>
            <w:sz w:val="22"/>
            <w:szCs w:val="22"/>
            <w:lang w:eastAsia="en-CA"/>
          </w:rPr>
          <w:tab/>
        </w:r>
        <w:r w:rsidRPr="00B12A51">
          <w:rPr>
            <w:rStyle w:val="Hyperlink"/>
            <w:noProof/>
          </w:rPr>
          <w:t>Shifting Minneapolis Towards Zero Emissions</w:t>
        </w:r>
        <w:r>
          <w:rPr>
            <w:noProof/>
            <w:webHidden/>
          </w:rPr>
          <w:tab/>
        </w:r>
        <w:r>
          <w:rPr>
            <w:noProof/>
            <w:webHidden/>
          </w:rPr>
          <w:fldChar w:fldCharType="begin"/>
        </w:r>
        <w:r>
          <w:rPr>
            <w:noProof/>
            <w:webHidden/>
          </w:rPr>
          <w:instrText xml:space="preserve"> PAGEREF _Toc460348770 \h </w:instrText>
        </w:r>
        <w:r>
          <w:rPr>
            <w:noProof/>
            <w:webHidden/>
          </w:rPr>
        </w:r>
        <w:r>
          <w:rPr>
            <w:noProof/>
            <w:webHidden/>
          </w:rPr>
          <w:fldChar w:fldCharType="separate"/>
        </w:r>
        <w:r w:rsidR="00394D4A">
          <w:rPr>
            <w:noProof/>
            <w:webHidden/>
          </w:rPr>
          <w:t>3</w:t>
        </w:r>
        <w:r>
          <w:rPr>
            <w:noProof/>
            <w:webHidden/>
          </w:rPr>
          <w:fldChar w:fldCharType="end"/>
        </w:r>
      </w:hyperlink>
    </w:p>
    <w:p w14:paraId="58100FC7" w14:textId="77777777" w:rsidR="008A47E8" w:rsidRDefault="008A47E8">
      <w:pPr>
        <w:pStyle w:val="TOC2"/>
        <w:tabs>
          <w:tab w:val="left" w:pos="880"/>
          <w:tab w:val="right" w:leader="dot" w:pos="9350"/>
        </w:tabs>
        <w:rPr>
          <w:rFonts w:eastAsiaTheme="minorEastAsia"/>
          <w:smallCaps w:val="0"/>
          <w:noProof/>
          <w:sz w:val="22"/>
          <w:szCs w:val="22"/>
          <w:lang w:eastAsia="en-CA"/>
        </w:rPr>
      </w:pPr>
      <w:hyperlink w:anchor="_Toc460348771" w:history="1">
        <w:r w:rsidRPr="00B12A51">
          <w:rPr>
            <w:rStyle w:val="Hyperlink"/>
            <w:noProof/>
          </w:rPr>
          <w:t>2.1</w:t>
        </w:r>
        <w:r>
          <w:rPr>
            <w:rFonts w:eastAsiaTheme="minorEastAsia"/>
            <w:smallCaps w:val="0"/>
            <w:noProof/>
            <w:sz w:val="22"/>
            <w:szCs w:val="22"/>
            <w:lang w:eastAsia="en-CA"/>
          </w:rPr>
          <w:tab/>
        </w:r>
        <w:r w:rsidRPr="00B12A51">
          <w:rPr>
            <w:rStyle w:val="Hyperlink"/>
            <w:noProof/>
          </w:rPr>
          <w:t>A Solid Foundation</w:t>
        </w:r>
        <w:r>
          <w:rPr>
            <w:noProof/>
            <w:webHidden/>
          </w:rPr>
          <w:tab/>
        </w:r>
        <w:r>
          <w:rPr>
            <w:noProof/>
            <w:webHidden/>
          </w:rPr>
          <w:fldChar w:fldCharType="begin"/>
        </w:r>
        <w:r>
          <w:rPr>
            <w:noProof/>
            <w:webHidden/>
          </w:rPr>
          <w:instrText xml:space="preserve"> PAGEREF _Toc460348771 \h </w:instrText>
        </w:r>
        <w:r>
          <w:rPr>
            <w:noProof/>
            <w:webHidden/>
          </w:rPr>
        </w:r>
        <w:r>
          <w:rPr>
            <w:noProof/>
            <w:webHidden/>
          </w:rPr>
          <w:fldChar w:fldCharType="separate"/>
        </w:r>
        <w:r w:rsidR="00394D4A">
          <w:rPr>
            <w:noProof/>
            <w:webHidden/>
          </w:rPr>
          <w:t>3</w:t>
        </w:r>
        <w:r>
          <w:rPr>
            <w:noProof/>
            <w:webHidden/>
          </w:rPr>
          <w:fldChar w:fldCharType="end"/>
        </w:r>
      </w:hyperlink>
    </w:p>
    <w:p w14:paraId="7B3A329C" w14:textId="77777777" w:rsidR="008A47E8" w:rsidRDefault="008A47E8">
      <w:pPr>
        <w:pStyle w:val="TOC2"/>
        <w:tabs>
          <w:tab w:val="left" w:pos="880"/>
          <w:tab w:val="right" w:leader="dot" w:pos="9350"/>
        </w:tabs>
        <w:rPr>
          <w:rFonts w:eastAsiaTheme="minorEastAsia"/>
          <w:smallCaps w:val="0"/>
          <w:noProof/>
          <w:sz w:val="22"/>
          <w:szCs w:val="22"/>
          <w:lang w:eastAsia="en-CA"/>
        </w:rPr>
      </w:pPr>
      <w:hyperlink w:anchor="_Toc460348772" w:history="1">
        <w:r w:rsidRPr="00B12A51">
          <w:rPr>
            <w:rStyle w:val="Hyperlink"/>
            <w:noProof/>
          </w:rPr>
          <w:t>2.2</w:t>
        </w:r>
        <w:r>
          <w:rPr>
            <w:rFonts w:eastAsiaTheme="minorEastAsia"/>
            <w:smallCaps w:val="0"/>
            <w:noProof/>
            <w:sz w:val="22"/>
            <w:szCs w:val="22"/>
            <w:lang w:eastAsia="en-CA"/>
          </w:rPr>
          <w:tab/>
        </w:r>
        <w:r w:rsidRPr="00B12A51">
          <w:rPr>
            <w:rStyle w:val="Hyperlink"/>
            <w:noProof/>
          </w:rPr>
          <w:t>Sustainability for All</w:t>
        </w:r>
        <w:r>
          <w:rPr>
            <w:noProof/>
            <w:webHidden/>
          </w:rPr>
          <w:tab/>
        </w:r>
        <w:r>
          <w:rPr>
            <w:noProof/>
            <w:webHidden/>
          </w:rPr>
          <w:fldChar w:fldCharType="begin"/>
        </w:r>
        <w:r>
          <w:rPr>
            <w:noProof/>
            <w:webHidden/>
          </w:rPr>
          <w:instrText xml:space="preserve"> PAGEREF _Toc460348772 \h </w:instrText>
        </w:r>
        <w:r>
          <w:rPr>
            <w:noProof/>
            <w:webHidden/>
          </w:rPr>
        </w:r>
        <w:r>
          <w:rPr>
            <w:noProof/>
            <w:webHidden/>
          </w:rPr>
          <w:fldChar w:fldCharType="separate"/>
        </w:r>
        <w:r w:rsidR="00394D4A">
          <w:rPr>
            <w:noProof/>
            <w:webHidden/>
          </w:rPr>
          <w:t>4</w:t>
        </w:r>
        <w:r>
          <w:rPr>
            <w:noProof/>
            <w:webHidden/>
          </w:rPr>
          <w:fldChar w:fldCharType="end"/>
        </w:r>
      </w:hyperlink>
    </w:p>
    <w:p w14:paraId="02B48B67" w14:textId="77777777" w:rsidR="008A47E8" w:rsidRDefault="008A47E8">
      <w:pPr>
        <w:pStyle w:val="TOC2"/>
        <w:tabs>
          <w:tab w:val="left" w:pos="880"/>
          <w:tab w:val="right" w:leader="dot" w:pos="9350"/>
        </w:tabs>
        <w:rPr>
          <w:rFonts w:eastAsiaTheme="minorEastAsia"/>
          <w:smallCaps w:val="0"/>
          <w:noProof/>
          <w:sz w:val="22"/>
          <w:szCs w:val="22"/>
          <w:lang w:eastAsia="en-CA"/>
        </w:rPr>
      </w:pPr>
      <w:hyperlink w:anchor="_Toc460348773" w:history="1">
        <w:r w:rsidRPr="00B12A51">
          <w:rPr>
            <w:rStyle w:val="Hyperlink"/>
            <w:noProof/>
          </w:rPr>
          <w:t>2.3</w:t>
        </w:r>
        <w:r>
          <w:rPr>
            <w:rFonts w:eastAsiaTheme="minorEastAsia"/>
            <w:smallCaps w:val="0"/>
            <w:noProof/>
            <w:sz w:val="22"/>
            <w:szCs w:val="22"/>
            <w:lang w:eastAsia="en-CA"/>
          </w:rPr>
          <w:tab/>
        </w:r>
        <w:r w:rsidRPr="00B12A51">
          <w:rPr>
            <w:rStyle w:val="Hyperlink"/>
            <w:noProof/>
          </w:rPr>
          <w:t>Sphere of Influence</w:t>
        </w:r>
        <w:r>
          <w:rPr>
            <w:noProof/>
            <w:webHidden/>
          </w:rPr>
          <w:tab/>
        </w:r>
        <w:r>
          <w:rPr>
            <w:noProof/>
            <w:webHidden/>
          </w:rPr>
          <w:fldChar w:fldCharType="begin"/>
        </w:r>
        <w:r>
          <w:rPr>
            <w:noProof/>
            <w:webHidden/>
          </w:rPr>
          <w:instrText xml:space="preserve"> PAGEREF _Toc460348773 \h </w:instrText>
        </w:r>
        <w:r>
          <w:rPr>
            <w:noProof/>
            <w:webHidden/>
          </w:rPr>
        </w:r>
        <w:r>
          <w:rPr>
            <w:noProof/>
            <w:webHidden/>
          </w:rPr>
          <w:fldChar w:fldCharType="separate"/>
        </w:r>
        <w:r w:rsidR="00394D4A">
          <w:rPr>
            <w:noProof/>
            <w:webHidden/>
          </w:rPr>
          <w:t>4</w:t>
        </w:r>
        <w:r>
          <w:rPr>
            <w:noProof/>
            <w:webHidden/>
          </w:rPr>
          <w:fldChar w:fldCharType="end"/>
        </w:r>
      </w:hyperlink>
    </w:p>
    <w:p w14:paraId="6354A44A" w14:textId="77777777" w:rsidR="008A47E8" w:rsidRDefault="008A47E8">
      <w:pPr>
        <w:pStyle w:val="TOC2"/>
        <w:tabs>
          <w:tab w:val="left" w:pos="880"/>
          <w:tab w:val="right" w:leader="dot" w:pos="9350"/>
        </w:tabs>
        <w:rPr>
          <w:rFonts w:eastAsiaTheme="minorEastAsia"/>
          <w:smallCaps w:val="0"/>
          <w:noProof/>
          <w:sz w:val="22"/>
          <w:szCs w:val="22"/>
          <w:lang w:eastAsia="en-CA"/>
        </w:rPr>
      </w:pPr>
      <w:hyperlink w:anchor="_Toc460348774" w:history="1">
        <w:r w:rsidRPr="00B12A51">
          <w:rPr>
            <w:rStyle w:val="Hyperlink"/>
            <w:noProof/>
          </w:rPr>
          <w:t>2.4</w:t>
        </w:r>
        <w:r>
          <w:rPr>
            <w:rFonts w:eastAsiaTheme="minorEastAsia"/>
            <w:smallCaps w:val="0"/>
            <w:noProof/>
            <w:sz w:val="22"/>
            <w:szCs w:val="22"/>
            <w:lang w:eastAsia="en-CA"/>
          </w:rPr>
          <w:tab/>
        </w:r>
        <w:r w:rsidRPr="00B12A51">
          <w:rPr>
            <w:rStyle w:val="Hyperlink"/>
            <w:noProof/>
          </w:rPr>
          <w:t>A Changing Climate</w:t>
        </w:r>
        <w:r>
          <w:rPr>
            <w:noProof/>
            <w:webHidden/>
          </w:rPr>
          <w:tab/>
        </w:r>
        <w:r>
          <w:rPr>
            <w:noProof/>
            <w:webHidden/>
          </w:rPr>
          <w:fldChar w:fldCharType="begin"/>
        </w:r>
        <w:r>
          <w:rPr>
            <w:noProof/>
            <w:webHidden/>
          </w:rPr>
          <w:instrText xml:space="preserve"> PAGEREF _Toc460348774 \h </w:instrText>
        </w:r>
        <w:r>
          <w:rPr>
            <w:noProof/>
            <w:webHidden/>
          </w:rPr>
        </w:r>
        <w:r>
          <w:rPr>
            <w:noProof/>
            <w:webHidden/>
          </w:rPr>
          <w:fldChar w:fldCharType="separate"/>
        </w:r>
        <w:r w:rsidR="00394D4A">
          <w:rPr>
            <w:noProof/>
            <w:webHidden/>
          </w:rPr>
          <w:t>5</w:t>
        </w:r>
        <w:r>
          <w:rPr>
            <w:noProof/>
            <w:webHidden/>
          </w:rPr>
          <w:fldChar w:fldCharType="end"/>
        </w:r>
      </w:hyperlink>
    </w:p>
    <w:p w14:paraId="412F9BBA" w14:textId="77777777" w:rsidR="008A47E8" w:rsidRDefault="008A47E8">
      <w:pPr>
        <w:pStyle w:val="TOC1"/>
        <w:rPr>
          <w:rFonts w:asciiTheme="minorHAnsi" w:eastAsiaTheme="minorEastAsia" w:hAnsiTheme="minorHAnsi"/>
          <w:b w:val="0"/>
          <w:bCs w:val="0"/>
          <w:caps w:val="0"/>
          <w:noProof/>
          <w:sz w:val="22"/>
          <w:szCs w:val="22"/>
          <w:lang w:eastAsia="en-CA"/>
        </w:rPr>
      </w:pPr>
      <w:hyperlink w:anchor="_Toc460348775" w:history="1">
        <w:r w:rsidRPr="00B12A51">
          <w:rPr>
            <w:rStyle w:val="Hyperlink"/>
            <w:noProof/>
          </w:rPr>
          <w:t>3</w:t>
        </w:r>
        <w:r>
          <w:rPr>
            <w:rFonts w:asciiTheme="minorHAnsi" w:eastAsiaTheme="minorEastAsia" w:hAnsiTheme="minorHAnsi"/>
            <w:b w:val="0"/>
            <w:bCs w:val="0"/>
            <w:caps w:val="0"/>
            <w:noProof/>
            <w:sz w:val="22"/>
            <w:szCs w:val="22"/>
            <w:lang w:eastAsia="en-CA"/>
          </w:rPr>
          <w:tab/>
        </w:r>
        <w:r w:rsidRPr="00B12A51">
          <w:rPr>
            <w:rStyle w:val="Hyperlink"/>
            <w:noProof/>
          </w:rPr>
          <w:t>Neighborhood | Lower No</w:t>
        </w:r>
        <w:r w:rsidRPr="00B12A51">
          <w:rPr>
            <w:rStyle w:val="Hyperlink"/>
            <w:noProof/>
          </w:rPr>
          <w:t>r</w:t>
        </w:r>
        <w:r w:rsidRPr="00B12A51">
          <w:rPr>
            <w:rStyle w:val="Hyperlink"/>
            <w:noProof/>
          </w:rPr>
          <w:t>th Loop</w:t>
        </w:r>
        <w:r>
          <w:rPr>
            <w:noProof/>
            <w:webHidden/>
          </w:rPr>
          <w:tab/>
        </w:r>
        <w:r>
          <w:rPr>
            <w:noProof/>
            <w:webHidden/>
          </w:rPr>
          <w:fldChar w:fldCharType="begin"/>
        </w:r>
        <w:r>
          <w:rPr>
            <w:noProof/>
            <w:webHidden/>
          </w:rPr>
          <w:instrText xml:space="preserve"> PAGEREF _Toc460348775 \h </w:instrText>
        </w:r>
        <w:r>
          <w:rPr>
            <w:noProof/>
            <w:webHidden/>
          </w:rPr>
        </w:r>
        <w:r>
          <w:rPr>
            <w:noProof/>
            <w:webHidden/>
          </w:rPr>
          <w:fldChar w:fldCharType="separate"/>
        </w:r>
        <w:r w:rsidR="00394D4A">
          <w:rPr>
            <w:noProof/>
            <w:webHidden/>
          </w:rPr>
          <w:t>7</w:t>
        </w:r>
        <w:r>
          <w:rPr>
            <w:noProof/>
            <w:webHidden/>
          </w:rPr>
          <w:fldChar w:fldCharType="end"/>
        </w:r>
      </w:hyperlink>
    </w:p>
    <w:p w14:paraId="5A760E2D" w14:textId="77777777" w:rsidR="008A47E8" w:rsidRDefault="008A47E8">
      <w:pPr>
        <w:pStyle w:val="TOC1"/>
        <w:rPr>
          <w:rFonts w:asciiTheme="minorHAnsi" w:eastAsiaTheme="minorEastAsia" w:hAnsiTheme="minorHAnsi"/>
          <w:b w:val="0"/>
          <w:bCs w:val="0"/>
          <w:caps w:val="0"/>
          <w:noProof/>
          <w:sz w:val="22"/>
          <w:szCs w:val="22"/>
          <w:lang w:eastAsia="en-CA"/>
        </w:rPr>
      </w:pPr>
      <w:hyperlink w:anchor="_Toc460348776" w:history="1">
        <w:r w:rsidRPr="00B12A51">
          <w:rPr>
            <w:rStyle w:val="Hyperlink"/>
            <w:noProof/>
          </w:rPr>
          <w:t>4</w:t>
        </w:r>
        <w:r>
          <w:rPr>
            <w:rFonts w:asciiTheme="minorHAnsi" w:eastAsiaTheme="minorEastAsia" w:hAnsiTheme="minorHAnsi"/>
            <w:b w:val="0"/>
            <w:bCs w:val="0"/>
            <w:caps w:val="0"/>
            <w:noProof/>
            <w:sz w:val="22"/>
            <w:szCs w:val="22"/>
            <w:lang w:eastAsia="en-CA"/>
          </w:rPr>
          <w:tab/>
        </w:r>
        <w:r w:rsidRPr="00B12A51">
          <w:rPr>
            <w:rStyle w:val="Hyperlink"/>
            <w:noProof/>
          </w:rPr>
          <w:t>Fostering an Energy System Transformation</w:t>
        </w:r>
        <w:r>
          <w:rPr>
            <w:noProof/>
            <w:webHidden/>
          </w:rPr>
          <w:tab/>
        </w:r>
        <w:r>
          <w:rPr>
            <w:noProof/>
            <w:webHidden/>
          </w:rPr>
          <w:fldChar w:fldCharType="begin"/>
        </w:r>
        <w:r>
          <w:rPr>
            <w:noProof/>
            <w:webHidden/>
          </w:rPr>
          <w:instrText xml:space="preserve"> PAGEREF _Toc460348776 \h </w:instrText>
        </w:r>
        <w:r>
          <w:rPr>
            <w:noProof/>
            <w:webHidden/>
          </w:rPr>
        </w:r>
        <w:r>
          <w:rPr>
            <w:noProof/>
            <w:webHidden/>
          </w:rPr>
          <w:fldChar w:fldCharType="separate"/>
        </w:r>
        <w:r w:rsidR="00394D4A">
          <w:rPr>
            <w:noProof/>
            <w:webHidden/>
          </w:rPr>
          <w:t>8</w:t>
        </w:r>
        <w:r>
          <w:rPr>
            <w:noProof/>
            <w:webHidden/>
          </w:rPr>
          <w:fldChar w:fldCharType="end"/>
        </w:r>
      </w:hyperlink>
    </w:p>
    <w:p w14:paraId="7E0ACBDB" w14:textId="77777777" w:rsidR="008A47E8" w:rsidRDefault="008A47E8">
      <w:pPr>
        <w:pStyle w:val="TOC2"/>
        <w:tabs>
          <w:tab w:val="left" w:pos="880"/>
          <w:tab w:val="right" w:leader="dot" w:pos="9350"/>
        </w:tabs>
        <w:rPr>
          <w:rFonts w:eastAsiaTheme="minorEastAsia"/>
          <w:smallCaps w:val="0"/>
          <w:noProof/>
          <w:sz w:val="22"/>
          <w:szCs w:val="22"/>
          <w:lang w:eastAsia="en-CA"/>
        </w:rPr>
      </w:pPr>
      <w:hyperlink w:anchor="_Toc460348777" w:history="1">
        <w:r w:rsidRPr="00B12A51">
          <w:rPr>
            <w:rStyle w:val="Hyperlink"/>
            <w:noProof/>
          </w:rPr>
          <w:t>4.1</w:t>
        </w:r>
        <w:r>
          <w:rPr>
            <w:rFonts w:eastAsiaTheme="minorEastAsia"/>
            <w:smallCaps w:val="0"/>
            <w:noProof/>
            <w:sz w:val="22"/>
            <w:szCs w:val="22"/>
            <w:lang w:eastAsia="en-CA"/>
          </w:rPr>
          <w:tab/>
        </w:r>
        <w:r w:rsidRPr="00B12A51">
          <w:rPr>
            <w:rStyle w:val="Hyperlink"/>
            <w:noProof/>
          </w:rPr>
          <w:t>Baseline Energy and Emissions Profile</w:t>
        </w:r>
        <w:r>
          <w:rPr>
            <w:noProof/>
            <w:webHidden/>
          </w:rPr>
          <w:tab/>
        </w:r>
        <w:r>
          <w:rPr>
            <w:noProof/>
            <w:webHidden/>
          </w:rPr>
          <w:fldChar w:fldCharType="begin"/>
        </w:r>
        <w:r>
          <w:rPr>
            <w:noProof/>
            <w:webHidden/>
          </w:rPr>
          <w:instrText xml:space="preserve"> PAGEREF _Toc460348777 \h </w:instrText>
        </w:r>
        <w:r>
          <w:rPr>
            <w:noProof/>
            <w:webHidden/>
          </w:rPr>
        </w:r>
        <w:r>
          <w:rPr>
            <w:noProof/>
            <w:webHidden/>
          </w:rPr>
          <w:fldChar w:fldCharType="separate"/>
        </w:r>
        <w:r w:rsidR="00394D4A">
          <w:rPr>
            <w:noProof/>
            <w:webHidden/>
          </w:rPr>
          <w:t>8</w:t>
        </w:r>
        <w:r>
          <w:rPr>
            <w:noProof/>
            <w:webHidden/>
          </w:rPr>
          <w:fldChar w:fldCharType="end"/>
        </w:r>
      </w:hyperlink>
    </w:p>
    <w:p w14:paraId="7F3B85E5" w14:textId="77777777" w:rsidR="008A47E8" w:rsidRDefault="008A47E8">
      <w:pPr>
        <w:pStyle w:val="TOC3"/>
        <w:tabs>
          <w:tab w:val="right" w:leader="dot" w:pos="9350"/>
        </w:tabs>
        <w:rPr>
          <w:rFonts w:eastAsiaTheme="minorEastAsia"/>
          <w:i w:val="0"/>
          <w:iCs w:val="0"/>
          <w:noProof/>
          <w:sz w:val="22"/>
          <w:szCs w:val="22"/>
          <w:lang w:eastAsia="en-CA"/>
        </w:rPr>
      </w:pPr>
      <w:hyperlink w:anchor="_Toc460348778" w:history="1">
        <w:r w:rsidRPr="00B12A51">
          <w:rPr>
            <w:rStyle w:val="Hyperlink"/>
            <w:noProof/>
          </w:rPr>
          <w:t>Energy Supply</w:t>
        </w:r>
        <w:r>
          <w:rPr>
            <w:noProof/>
            <w:webHidden/>
          </w:rPr>
          <w:tab/>
        </w:r>
        <w:r>
          <w:rPr>
            <w:noProof/>
            <w:webHidden/>
          </w:rPr>
          <w:fldChar w:fldCharType="begin"/>
        </w:r>
        <w:r>
          <w:rPr>
            <w:noProof/>
            <w:webHidden/>
          </w:rPr>
          <w:instrText xml:space="preserve"> PAGEREF _Toc460348778 \h </w:instrText>
        </w:r>
        <w:r>
          <w:rPr>
            <w:noProof/>
            <w:webHidden/>
          </w:rPr>
        </w:r>
        <w:r>
          <w:rPr>
            <w:noProof/>
            <w:webHidden/>
          </w:rPr>
          <w:fldChar w:fldCharType="separate"/>
        </w:r>
        <w:r w:rsidR="00394D4A">
          <w:rPr>
            <w:noProof/>
            <w:webHidden/>
          </w:rPr>
          <w:t>8</w:t>
        </w:r>
        <w:r>
          <w:rPr>
            <w:noProof/>
            <w:webHidden/>
          </w:rPr>
          <w:fldChar w:fldCharType="end"/>
        </w:r>
      </w:hyperlink>
    </w:p>
    <w:p w14:paraId="298C8D6A" w14:textId="77777777" w:rsidR="008A47E8" w:rsidRDefault="008A47E8">
      <w:pPr>
        <w:pStyle w:val="TOC3"/>
        <w:tabs>
          <w:tab w:val="right" w:leader="dot" w:pos="9350"/>
        </w:tabs>
        <w:rPr>
          <w:rFonts w:eastAsiaTheme="minorEastAsia"/>
          <w:i w:val="0"/>
          <w:iCs w:val="0"/>
          <w:noProof/>
          <w:sz w:val="22"/>
          <w:szCs w:val="22"/>
          <w:lang w:eastAsia="en-CA"/>
        </w:rPr>
      </w:pPr>
      <w:hyperlink w:anchor="_Toc460348779" w:history="1">
        <w:r w:rsidRPr="00B12A51">
          <w:rPr>
            <w:rStyle w:val="Hyperlink"/>
            <w:noProof/>
          </w:rPr>
          <w:t>Buildings</w:t>
        </w:r>
        <w:r>
          <w:rPr>
            <w:noProof/>
            <w:webHidden/>
          </w:rPr>
          <w:tab/>
        </w:r>
        <w:r>
          <w:rPr>
            <w:noProof/>
            <w:webHidden/>
          </w:rPr>
          <w:fldChar w:fldCharType="begin"/>
        </w:r>
        <w:r>
          <w:rPr>
            <w:noProof/>
            <w:webHidden/>
          </w:rPr>
          <w:instrText xml:space="preserve"> PAGEREF _Toc460348779 \h </w:instrText>
        </w:r>
        <w:r>
          <w:rPr>
            <w:noProof/>
            <w:webHidden/>
          </w:rPr>
        </w:r>
        <w:r>
          <w:rPr>
            <w:noProof/>
            <w:webHidden/>
          </w:rPr>
          <w:fldChar w:fldCharType="separate"/>
        </w:r>
        <w:r w:rsidR="00394D4A">
          <w:rPr>
            <w:noProof/>
            <w:webHidden/>
          </w:rPr>
          <w:t>9</w:t>
        </w:r>
        <w:r>
          <w:rPr>
            <w:noProof/>
            <w:webHidden/>
          </w:rPr>
          <w:fldChar w:fldCharType="end"/>
        </w:r>
      </w:hyperlink>
    </w:p>
    <w:p w14:paraId="1019F2A7" w14:textId="77777777" w:rsidR="008A47E8" w:rsidRDefault="008A47E8">
      <w:pPr>
        <w:pStyle w:val="TOC3"/>
        <w:tabs>
          <w:tab w:val="right" w:leader="dot" w:pos="9350"/>
        </w:tabs>
        <w:rPr>
          <w:rFonts w:eastAsiaTheme="minorEastAsia"/>
          <w:i w:val="0"/>
          <w:iCs w:val="0"/>
          <w:noProof/>
          <w:sz w:val="22"/>
          <w:szCs w:val="22"/>
          <w:lang w:eastAsia="en-CA"/>
        </w:rPr>
      </w:pPr>
      <w:hyperlink w:anchor="_Toc460348780" w:history="1">
        <w:r w:rsidRPr="00B12A51">
          <w:rPr>
            <w:rStyle w:val="Hyperlink"/>
            <w:noProof/>
          </w:rPr>
          <w:t>Transportation</w:t>
        </w:r>
        <w:r>
          <w:rPr>
            <w:noProof/>
            <w:webHidden/>
          </w:rPr>
          <w:tab/>
        </w:r>
        <w:r>
          <w:rPr>
            <w:noProof/>
            <w:webHidden/>
          </w:rPr>
          <w:fldChar w:fldCharType="begin"/>
        </w:r>
        <w:r>
          <w:rPr>
            <w:noProof/>
            <w:webHidden/>
          </w:rPr>
          <w:instrText xml:space="preserve"> PAGEREF _Toc460348780 \h </w:instrText>
        </w:r>
        <w:r>
          <w:rPr>
            <w:noProof/>
            <w:webHidden/>
          </w:rPr>
        </w:r>
        <w:r>
          <w:rPr>
            <w:noProof/>
            <w:webHidden/>
          </w:rPr>
          <w:fldChar w:fldCharType="separate"/>
        </w:r>
        <w:r w:rsidR="00394D4A">
          <w:rPr>
            <w:noProof/>
            <w:webHidden/>
          </w:rPr>
          <w:t>9</w:t>
        </w:r>
        <w:r>
          <w:rPr>
            <w:noProof/>
            <w:webHidden/>
          </w:rPr>
          <w:fldChar w:fldCharType="end"/>
        </w:r>
      </w:hyperlink>
    </w:p>
    <w:p w14:paraId="4E7EADA9" w14:textId="77777777" w:rsidR="008A47E8" w:rsidRDefault="008A47E8">
      <w:pPr>
        <w:pStyle w:val="TOC3"/>
        <w:tabs>
          <w:tab w:val="right" w:leader="dot" w:pos="9350"/>
        </w:tabs>
        <w:rPr>
          <w:rFonts w:eastAsiaTheme="minorEastAsia"/>
          <w:i w:val="0"/>
          <w:iCs w:val="0"/>
          <w:noProof/>
          <w:sz w:val="22"/>
          <w:szCs w:val="22"/>
          <w:lang w:eastAsia="en-CA"/>
        </w:rPr>
      </w:pPr>
      <w:hyperlink w:anchor="_Toc460348781" w:history="1">
        <w:r w:rsidRPr="00B12A51">
          <w:rPr>
            <w:rStyle w:val="Hyperlink"/>
            <w:noProof/>
          </w:rPr>
          <w:t>Summary</w:t>
        </w:r>
        <w:r>
          <w:rPr>
            <w:noProof/>
            <w:webHidden/>
          </w:rPr>
          <w:tab/>
        </w:r>
        <w:r>
          <w:rPr>
            <w:noProof/>
            <w:webHidden/>
          </w:rPr>
          <w:fldChar w:fldCharType="begin"/>
        </w:r>
        <w:r>
          <w:rPr>
            <w:noProof/>
            <w:webHidden/>
          </w:rPr>
          <w:instrText xml:space="preserve"> PAGEREF _Toc460348781 \h </w:instrText>
        </w:r>
        <w:r>
          <w:rPr>
            <w:noProof/>
            <w:webHidden/>
          </w:rPr>
        </w:r>
        <w:r>
          <w:rPr>
            <w:noProof/>
            <w:webHidden/>
          </w:rPr>
          <w:fldChar w:fldCharType="separate"/>
        </w:r>
        <w:r w:rsidR="00394D4A">
          <w:rPr>
            <w:noProof/>
            <w:webHidden/>
          </w:rPr>
          <w:t>10</w:t>
        </w:r>
        <w:r>
          <w:rPr>
            <w:noProof/>
            <w:webHidden/>
          </w:rPr>
          <w:fldChar w:fldCharType="end"/>
        </w:r>
      </w:hyperlink>
    </w:p>
    <w:p w14:paraId="6CD900B0" w14:textId="77777777" w:rsidR="008A47E8" w:rsidRDefault="008A47E8">
      <w:pPr>
        <w:pStyle w:val="TOC2"/>
        <w:tabs>
          <w:tab w:val="left" w:pos="880"/>
          <w:tab w:val="right" w:leader="dot" w:pos="9350"/>
        </w:tabs>
        <w:rPr>
          <w:rFonts w:eastAsiaTheme="minorEastAsia"/>
          <w:smallCaps w:val="0"/>
          <w:noProof/>
          <w:sz w:val="22"/>
          <w:szCs w:val="22"/>
          <w:lang w:eastAsia="en-CA"/>
        </w:rPr>
      </w:pPr>
      <w:hyperlink w:anchor="_Toc460348782" w:history="1">
        <w:r w:rsidRPr="00B12A51">
          <w:rPr>
            <w:rStyle w:val="Hyperlink"/>
            <w:noProof/>
          </w:rPr>
          <w:t>4.2</w:t>
        </w:r>
        <w:r>
          <w:rPr>
            <w:rFonts w:eastAsiaTheme="minorEastAsia"/>
            <w:smallCaps w:val="0"/>
            <w:noProof/>
            <w:sz w:val="22"/>
            <w:szCs w:val="22"/>
            <w:lang w:eastAsia="en-CA"/>
          </w:rPr>
          <w:tab/>
        </w:r>
        <w:r w:rsidRPr="00B12A51">
          <w:rPr>
            <w:rStyle w:val="Hyperlink"/>
            <w:noProof/>
          </w:rPr>
          <w:t>Transformation Scenario and High Priority Actions</w:t>
        </w:r>
        <w:r>
          <w:rPr>
            <w:noProof/>
            <w:webHidden/>
          </w:rPr>
          <w:tab/>
        </w:r>
        <w:r>
          <w:rPr>
            <w:noProof/>
            <w:webHidden/>
          </w:rPr>
          <w:fldChar w:fldCharType="begin"/>
        </w:r>
        <w:r>
          <w:rPr>
            <w:noProof/>
            <w:webHidden/>
          </w:rPr>
          <w:instrText xml:space="preserve"> PAGEREF _Toc460348782 \h </w:instrText>
        </w:r>
        <w:r>
          <w:rPr>
            <w:noProof/>
            <w:webHidden/>
          </w:rPr>
        </w:r>
        <w:r>
          <w:rPr>
            <w:noProof/>
            <w:webHidden/>
          </w:rPr>
          <w:fldChar w:fldCharType="separate"/>
        </w:r>
        <w:r w:rsidR="00394D4A">
          <w:rPr>
            <w:noProof/>
            <w:webHidden/>
          </w:rPr>
          <w:t>12</w:t>
        </w:r>
        <w:r>
          <w:rPr>
            <w:noProof/>
            <w:webHidden/>
          </w:rPr>
          <w:fldChar w:fldCharType="end"/>
        </w:r>
      </w:hyperlink>
    </w:p>
    <w:p w14:paraId="5BFC470A" w14:textId="77777777" w:rsidR="008A47E8" w:rsidRDefault="008A47E8">
      <w:pPr>
        <w:pStyle w:val="TOC3"/>
        <w:tabs>
          <w:tab w:val="right" w:leader="dot" w:pos="9350"/>
        </w:tabs>
        <w:rPr>
          <w:rFonts w:eastAsiaTheme="minorEastAsia"/>
          <w:i w:val="0"/>
          <w:iCs w:val="0"/>
          <w:noProof/>
          <w:sz w:val="22"/>
          <w:szCs w:val="22"/>
          <w:lang w:eastAsia="en-CA"/>
        </w:rPr>
      </w:pPr>
      <w:hyperlink w:anchor="_Toc460348783" w:history="1">
        <w:r w:rsidRPr="00B12A51">
          <w:rPr>
            <w:rStyle w:val="Hyperlink"/>
            <w:noProof/>
          </w:rPr>
          <w:t>Energy Supply</w:t>
        </w:r>
        <w:r>
          <w:rPr>
            <w:noProof/>
            <w:webHidden/>
          </w:rPr>
          <w:tab/>
        </w:r>
        <w:r>
          <w:rPr>
            <w:noProof/>
            <w:webHidden/>
          </w:rPr>
          <w:fldChar w:fldCharType="begin"/>
        </w:r>
        <w:r>
          <w:rPr>
            <w:noProof/>
            <w:webHidden/>
          </w:rPr>
          <w:instrText xml:space="preserve"> PAGEREF _Toc460348783 \h </w:instrText>
        </w:r>
        <w:r>
          <w:rPr>
            <w:noProof/>
            <w:webHidden/>
          </w:rPr>
        </w:r>
        <w:r>
          <w:rPr>
            <w:noProof/>
            <w:webHidden/>
          </w:rPr>
          <w:fldChar w:fldCharType="separate"/>
        </w:r>
        <w:r w:rsidR="00394D4A">
          <w:rPr>
            <w:noProof/>
            <w:webHidden/>
          </w:rPr>
          <w:t>13</w:t>
        </w:r>
        <w:r>
          <w:rPr>
            <w:noProof/>
            <w:webHidden/>
          </w:rPr>
          <w:fldChar w:fldCharType="end"/>
        </w:r>
      </w:hyperlink>
    </w:p>
    <w:p w14:paraId="783E2212" w14:textId="77777777" w:rsidR="008A47E8" w:rsidRDefault="008A47E8">
      <w:pPr>
        <w:pStyle w:val="TOC3"/>
        <w:tabs>
          <w:tab w:val="right" w:leader="dot" w:pos="9350"/>
        </w:tabs>
        <w:rPr>
          <w:rFonts w:eastAsiaTheme="minorEastAsia"/>
          <w:i w:val="0"/>
          <w:iCs w:val="0"/>
          <w:noProof/>
          <w:sz w:val="22"/>
          <w:szCs w:val="22"/>
          <w:lang w:eastAsia="en-CA"/>
        </w:rPr>
      </w:pPr>
      <w:hyperlink w:anchor="_Toc460348784" w:history="1">
        <w:r w:rsidRPr="00B12A51">
          <w:rPr>
            <w:rStyle w:val="Hyperlink"/>
            <w:noProof/>
          </w:rPr>
          <w:t>Buildings</w:t>
        </w:r>
        <w:r>
          <w:rPr>
            <w:noProof/>
            <w:webHidden/>
          </w:rPr>
          <w:tab/>
        </w:r>
        <w:r>
          <w:rPr>
            <w:noProof/>
            <w:webHidden/>
          </w:rPr>
          <w:fldChar w:fldCharType="begin"/>
        </w:r>
        <w:r>
          <w:rPr>
            <w:noProof/>
            <w:webHidden/>
          </w:rPr>
          <w:instrText xml:space="preserve"> PAGEREF _Toc460348784 \h </w:instrText>
        </w:r>
        <w:r>
          <w:rPr>
            <w:noProof/>
            <w:webHidden/>
          </w:rPr>
        </w:r>
        <w:r>
          <w:rPr>
            <w:noProof/>
            <w:webHidden/>
          </w:rPr>
          <w:fldChar w:fldCharType="separate"/>
        </w:r>
        <w:r w:rsidR="00394D4A">
          <w:rPr>
            <w:noProof/>
            <w:webHidden/>
          </w:rPr>
          <w:t>16</w:t>
        </w:r>
        <w:r>
          <w:rPr>
            <w:noProof/>
            <w:webHidden/>
          </w:rPr>
          <w:fldChar w:fldCharType="end"/>
        </w:r>
      </w:hyperlink>
    </w:p>
    <w:p w14:paraId="02AE0BC5" w14:textId="77777777" w:rsidR="008A47E8" w:rsidRDefault="008A47E8">
      <w:pPr>
        <w:pStyle w:val="TOC3"/>
        <w:tabs>
          <w:tab w:val="right" w:leader="dot" w:pos="9350"/>
        </w:tabs>
        <w:rPr>
          <w:rFonts w:eastAsiaTheme="minorEastAsia"/>
          <w:i w:val="0"/>
          <w:iCs w:val="0"/>
          <w:noProof/>
          <w:sz w:val="22"/>
          <w:szCs w:val="22"/>
          <w:lang w:eastAsia="en-CA"/>
        </w:rPr>
      </w:pPr>
      <w:hyperlink w:anchor="_Toc460348785" w:history="1">
        <w:r w:rsidRPr="00B12A51">
          <w:rPr>
            <w:rStyle w:val="Hyperlink"/>
            <w:noProof/>
          </w:rPr>
          <w:t>Transportation</w:t>
        </w:r>
        <w:r>
          <w:rPr>
            <w:noProof/>
            <w:webHidden/>
          </w:rPr>
          <w:tab/>
        </w:r>
        <w:r>
          <w:rPr>
            <w:noProof/>
            <w:webHidden/>
          </w:rPr>
          <w:fldChar w:fldCharType="begin"/>
        </w:r>
        <w:r>
          <w:rPr>
            <w:noProof/>
            <w:webHidden/>
          </w:rPr>
          <w:instrText xml:space="preserve"> PAGEREF _Toc460348785 \h </w:instrText>
        </w:r>
        <w:r>
          <w:rPr>
            <w:noProof/>
            <w:webHidden/>
          </w:rPr>
        </w:r>
        <w:r>
          <w:rPr>
            <w:noProof/>
            <w:webHidden/>
          </w:rPr>
          <w:fldChar w:fldCharType="separate"/>
        </w:r>
        <w:r w:rsidR="00394D4A">
          <w:rPr>
            <w:noProof/>
            <w:webHidden/>
          </w:rPr>
          <w:t>20</w:t>
        </w:r>
        <w:r>
          <w:rPr>
            <w:noProof/>
            <w:webHidden/>
          </w:rPr>
          <w:fldChar w:fldCharType="end"/>
        </w:r>
      </w:hyperlink>
    </w:p>
    <w:p w14:paraId="6A064886" w14:textId="77777777" w:rsidR="008A47E8" w:rsidRDefault="008A47E8">
      <w:pPr>
        <w:pStyle w:val="TOC3"/>
        <w:tabs>
          <w:tab w:val="right" w:leader="dot" w:pos="9350"/>
        </w:tabs>
        <w:rPr>
          <w:rFonts w:eastAsiaTheme="minorEastAsia"/>
          <w:i w:val="0"/>
          <w:iCs w:val="0"/>
          <w:noProof/>
          <w:sz w:val="22"/>
          <w:szCs w:val="22"/>
          <w:lang w:eastAsia="en-CA"/>
        </w:rPr>
      </w:pPr>
      <w:hyperlink w:anchor="_Toc460348786" w:history="1">
        <w:r w:rsidRPr="00B12A51">
          <w:rPr>
            <w:rStyle w:val="Hyperlink"/>
            <w:noProof/>
          </w:rPr>
          <w:t>Sum</w:t>
        </w:r>
        <w:r w:rsidRPr="00B12A51">
          <w:rPr>
            <w:rStyle w:val="Hyperlink"/>
            <w:noProof/>
          </w:rPr>
          <w:t>m</w:t>
        </w:r>
        <w:r w:rsidRPr="00B12A51">
          <w:rPr>
            <w:rStyle w:val="Hyperlink"/>
            <w:noProof/>
          </w:rPr>
          <w:t>a</w:t>
        </w:r>
        <w:r w:rsidRPr="00B12A51">
          <w:rPr>
            <w:rStyle w:val="Hyperlink"/>
            <w:noProof/>
          </w:rPr>
          <w:t>r</w:t>
        </w:r>
        <w:r w:rsidRPr="00B12A51">
          <w:rPr>
            <w:rStyle w:val="Hyperlink"/>
            <w:noProof/>
          </w:rPr>
          <w:t>y</w:t>
        </w:r>
        <w:r>
          <w:rPr>
            <w:noProof/>
            <w:webHidden/>
          </w:rPr>
          <w:tab/>
        </w:r>
        <w:r>
          <w:rPr>
            <w:noProof/>
            <w:webHidden/>
          </w:rPr>
          <w:fldChar w:fldCharType="begin"/>
        </w:r>
        <w:r>
          <w:rPr>
            <w:noProof/>
            <w:webHidden/>
          </w:rPr>
          <w:instrText xml:space="preserve"> PAGEREF _Toc460348786 \h </w:instrText>
        </w:r>
        <w:r>
          <w:rPr>
            <w:noProof/>
            <w:webHidden/>
          </w:rPr>
        </w:r>
        <w:r>
          <w:rPr>
            <w:noProof/>
            <w:webHidden/>
          </w:rPr>
          <w:fldChar w:fldCharType="separate"/>
        </w:r>
        <w:r w:rsidR="00394D4A">
          <w:rPr>
            <w:noProof/>
            <w:webHidden/>
          </w:rPr>
          <w:t>23</w:t>
        </w:r>
        <w:r>
          <w:rPr>
            <w:noProof/>
            <w:webHidden/>
          </w:rPr>
          <w:fldChar w:fldCharType="end"/>
        </w:r>
      </w:hyperlink>
    </w:p>
    <w:p w14:paraId="631B67AF" w14:textId="1C473012" w:rsidR="00DB29B4" w:rsidRDefault="00DB29B4" w:rsidP="00DB29B4">
      <w:pPr>
        <w:rPr>
          <w:rFonts w:ascii="Arial Narrow" w:hAnsi="Arial Narrow"/>
        </w:rPr>
      </w:pPr>
      <w:r w:rsidRPr="00DB29B4">
        <w:rPr>
          <w:rFonts w:ascii="Arial Narrow" w:hAnsi="Arial Narrow"/>
          <w:sz w:val="24"/>
          <w:szCs w:val="24"/>
        </w:rPr>
        <w:fldChar w:fldCharType="end"/>
      </w:r>
    </w:p>
    <w:p w14:paraId="73DA7FD7" w14:textId="77777777" w:rsidR="00E21B58" w:rsidRDefault="00E21B58">
      <w:pPr>
        <w:rPr>
          <w:rFonts w:ascii="Arial Narrow" w:hAnsi="Arial Narrow"/>
        </w:rPr>
        <w:sectPr w:rsidR="00E21B58" w:rsidSect="00E21B58">
          <w:footerReference w:type="default" r:id="rId9"/>
          <w:footerReference w:type="first" r:id="rId10"/>
          <w:pgSz w:w="12240" w:h="15840"/>
          <w:pgMar w:top="1440" w:right="1440" w:bottom="1440" w:left="1440" w:header="708" w:footer="708" w:gutter="0"/>
          <w:pgNumType w:fmt="lowerRoman"/>
          <w:cols w:space="708"/>
          <w:titlePg/>
          <w:docGrid w:linePitch="360"/>
        </w:sectPr>
      </w:pPr>
    </w:p>
    <w:p w14:paraId="33085719" w14:textId="2ABAFC2B" w:rsidR="00AF732F" w:rsidRPr="00306771" w:rsidRDefault="009D1653" w:rsidP="00394C10">
      <w:pPr>
        <w:pStyle w:val="Heading1"/>
      </w:pPr>
      <w:bookmarkStart w:id="0" w:name="_Toc460348769"/>
      <w:r w:rsidRPr="00306771">
        <w:lastRenderedPageBreak/>
        <w:t>Introduction</w:t>
      </w:r>
      <w:bookmarkEnd w:id="0"/>
    </w:p>
    <w:p w14:paraId="62021F64" w14:textId="060B9EAB" w:rsidR="00AF732F" w:rsidRPr="00B67C60" w:rsidRDefault="00AF732F" w:rsidP="00AF732F">
      <w:pPr>
        <w:jc w:val="both"/>
        <w:rPr>
          <w:rFonts w:ascii="Arial Narrow" w:hAnsi="Arial Narrow"/>
          <w:sz w:val="24"/>
        </w:rPr>
      </w:pPr>
      <w:r w:rsidRPr="00B67C60">
        <w:rPr>
          <w:rFonts w:ascii="Arial Narrow" w:hAnsi="Arial Narrow"/>
          <w:sz w:val="24"/>
        </w:rPr>
        <w:t xml:space="preserve">Cities across the world are beginning to take climate change seriously, and are implementing a range of strategies, policies and programs to dramatically reduce their greenhouse gas </w:t>
      </w:r>
      <w:r w:rsidR="00B74ED0">
        <w:rPr>
          <w:rFonts w:ascii="Arial Narrow" w:hAnsi="Arial Narrow"/>
          <w:sz w:val="24"/>
        </w:rPr>
        <w:t xml:space="preserve">(GHG) </w:t>
      </w:r>
      <w:r w:rsidRPr="00B67C60">
        <w:rPr>
          <w:rFonts w:ascii="Arial Narrow" w:hAnsi="Arial Narrow"/>
          <w:sz w:val="24"/>
        </w:rPr>
        <w:t xml:space="preserve">emission contributions into the atmosphere. To avoid a catastrophic level of global warming, these innovative urban </w:t>
      </w:r>
      <w:r w:rsidR="00FD1859">
        <w:rPr>
          <w:rFonts w:ascii="Arial Narrow" w:hAnsi="Arial Narrow"/>
          <w:sz w:val="24"/>
        </w:rPr>
        <w:t>center</w:t>
      </w:r>
      <w:r w:rsidR="00FD1859" w:rsidRPr="00B67C60">
        <w:rPr>
          <w:rFonts w:ascii="Arial Narrow" w:hAnsi="Arial Narrow"/>
          <w:sz w:val="24"/>
        </w:rPr>
        <w:t xml:space="preserve">s </w:t>
      </w:r>
      <w:r w:rsidRPr="00B67C60">
        <w:rPr>
          <w:rFonts w:ascii="Arial Narrow" w:hAnsi="Arial Narrow"/>
          <w:sz w:val="24"/>
        </w:rPr>
        <w:t>have pledged to reduce their emissions by 80% by the year 2050, with a longer term target of relying on 100% renewable energy in all aspects of urban life.</w:t>
      </w:r>
    </w:p>
    <w:p w14:paraId="067B19D8" w14:textId="0BE336CB" w:rsidR="00AF732F" w:rsidRPr="00B67C60" w:rsidRDefault="00AF732F" w:rsidP="00AF732F">
      <w:pPr>
        <w:jc w:val="both"/>
        <w:rPr>
          <w:rFonts w:ascii="Arial Narrow" w:hAnsi="Arial Narrow"/>
          <w:sz w:val="24"/>
        </w:rPr>
      </w:pPr>
      <w:r w:rsidRPr="00B67C60">
        <w:rPr>
          <w:rFonts w:ascii="Arial Narrow" w:hAnsi="Arial Narrow"/>
          <w:sz w:val="24"/>
        </w:rPr>
        <w:t xml:space="preserve">To make this transition will require a considerable transformation in the way we work, live and commute, as well as a new way of thinking about and designing our cities. As a starting point, many local jurisdictions are focusing their efforts on the </w:t>
      </w:r>
      <w:r w:rsidR="00A3265F">
        <w:rPr>
          <w:rFonts w:ascii="Arial Narrow" w:hAnsi="Arial Narrow"/>
          <w:sz w:val="24"/>
        </w:rPr>
        <w:t>transformation</w:t>
      </w:r>
      <w:r w:rsidRPr="00B67C60">
        <w:rPr>
          <w:rFonts w:ascii="Arial Narrow" w:hAnsi="Arial Narrow"/>
          <w:sz w:val="24"/>
        </w:rPr>
        <w:t xml:space="preserve"> of individual neighborhoods as a way of piloting novel planning tools, development models, and engagement methods</w:t>
      </w:r>
      <w:r w:rsidR="00E22934" w:rsidRPr="00B67C60">
        <w:rPr>
          <w:rFonts w:ascii="Arial Narrow" w:hAnsi="Arial Narrow"/>
          <w:sz w:val="24"/>
        </w:rPr>
        <w:t>.</w:t>
      </w:r>
      <w:r w:rsidRPr="00B67C60">
        <w:rPr>
          <w:rFonts w:ascii="Arial Narrow" w:hAnsi="Arial Narrow"/>
          <w:sz w:val="24"/>
        </w:rPr>
        <w:t xml:space="preserve"> While many of the plans and policies required at the neighborhood scale are applicable to urban systems more broadly, others must be tailored to the unique context and circumstances of a particular area. Existing energy infrastructure, building types, transportation networks, levels of community engagement and many other dimensions need</w:t>
      </w:r>
      <w:r w:rsidR="00FD1859">
        <w:rPr>
          <w:rFonts w:ascii="Arial Narrow" w:hAnsi="Arial Narrow"/>
          <w:sz w:val="24"/>
        </w:rPr>
        <w:t xml:space="preserve"> to</w:t>
      </w:r>
      <w:r w:rsidRPr="00B67C60">
        <w:rPr>
          <w:rFonts w:ascii="Arial Narrow" w:hAnsi="Arial Narrow"/>
          <w:sz w:val="24"/>
        </w:rPr>
        <w:t xml:space="preserve"> all be considered in weighing the various approaches to decarbonization to ensure the right fit and highest level of success.</w:t>
      </w:r>
    </w:p>
    <w:p w14:paraId="5180742F" w14:textId="1DA711AA" w:rsidR="00D64CDD" w:rsidRDefault="00204B26" w:rsidP="007D2004">
      <w:pPr>
        <w:tabs>
          <w:tab w:val="left" w:pos="5245"/>
        </w:tabs>
        <w:jc w:val="both"/>
        <w:rPr>
          <w:rFonts w:ascii="Arial Narrow" w:hAnsi="Arial Narrow"/>
          <w:sz w:val="24"/>
        </w:rPr>
      </w:pPr>
      <w:r>
        <w:rPr>
          <w:noProof/>
          <w:lang w:eastAsia="en-CA"/>
        </w:rPr>
        <mc:AlternateContent>
          <mc:Choice Requires="wps">
            <w:drawing>
              <wp:anchor distT="45720" distB="45720" distL="114300" distR="114300" simplePos="0" relativeHeight="251681792" behindDoc="0" locked="0" layoutInCell="1" allowOverlap="1" wp14:anchorId="1DA7CB38" wp14:editId="506B8EBD">
                <wp:simplePos x="0" y="0"/>
                <wp:positionH relativeFrom="margin">
                  <wp:posOffset>0</wp:posOffset>
                </wp:positionH>
                <wp:positionV relativeFrom="margin">
                  <wp:posOffset>4381500</wp:posOffset>
                </wp:positionV>
                <wp:extent cx="6071235" cy="3769360"/>
                <wp:effectExtent l="0" t="0" r="0" b="25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1235" cy="3769360"/>
                        </a:xfrm>
                        <a:prstGeom prst="rect">
                          <a:avLst/>
                        </a:prstGeom>
                        <a:noFill/>
                        <a:ln w="9525">
                          <a:noFill/>
                          <a:miter lim="800000"/>
                          <a:headEnd/>
                          <a:tailEnd/>
                        </a:ln>
                      </wps:spPr>
                      <wps:txbx>
                        <w:txbxContent>
                          <w:p w14:paraId="5CBFA055" w14:textId="77777777" w:rsidR="00204B26" w:rsidRDefault="00204B26" w:rsidP="00940830">
                            <w:pPr>
                              <w:pStyle w:val="Caption"/>
                              <w:spacing w:after="0"/>
                              <w:jc w:val="center"/>
                            </w:pPr>
                            <w:r w:rsidRPr="00204B26">
                              <w:rPr>
                                <w:noProof/>
                                <w:lang w:eastAsia="en-CA"/>
                              </w:rPr>
                              <w:drawing>
                                <wp:inline distT="0" distB="0" distL="0" distR="0" wp14:anchorId="68F9ED29" wp14:editId="7446D754">
                                  <wp:extent cx="4995498" cy="32689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000" t="1420" r="1441" b="7903"/>
                                          <a:stretch/>
                                        </pic:blipFill>
                                        <pic:spPr bwMode="auto">
                                          <a:xfrm>
                                            <a:off x="0" y="0"/>
                                            <a:ext cx="5000782" cy="3272438"/>
                                          </a:xfrm>
                                          <a:prstGeom prst="rect">
                                            <a:avLst/>
                                          </a:prstGeom>
                                          <a:noFill/>
                                          <a:ln>
                                            <a:noFill/>
                                          </a:ln>
                                          <a:extLst>
                                            <a:ext uri="{53640926-AAD7-44D8-BBD7-CCE9431645EC}">
                                              <a14:shadowObscured xmlns:a14="http://schemas.microsoft.com/office/drawing/2010/main"/>
                                            </a:ext>
                                          </a:extLst>
                                        </pic:spPr>
                                      </pic:pic>
                                    </a:graphicData>
                                  </a:graphic>
                                </wp:inline>
                              </w:drawing>
                            </w:r>
                          </w:p>
                          <w:p w14:paraId="020AF420" w14:textId="3E76CF98" w:rsidR="00204B26" w:rsidRPr="00280FF9" w:rsidRDefault="00204B26" w:rsidP="00204B26">
                            <w:pPr>
                              <w:pStyle w:val="Caption"/>
                            </w:pPr>
                            <w:bookmarkStart w:id="1" w:name="_Ref460315846"/>
                            <w:r w:rsidRPr="00280FF9">
                              <w:t xml:space="preserve">Figure </w:t>
                            </w:r>
                            <w:r w:rsidRPr="00280FF9">
                              <w:fldChar w:fldCharType="begin"/>
                            </w:r>
                            <w:r w:rsidRPr="00280FF9">
                              <w:instrText xml:space="preserve"> SEQ Figure \* ARABIC </w:instrText>
                            </w:r>
                            <w:r w:rsidRPr="00280FF9">
                              <w:fldChar w:fldCharType="separate"/>
                            </w:r>
                            <w:r w:rsidR="00394D4A">
                              <w:rPr>
                                <w:noProof/>
                              </w:rPr>
                              <w:t>1</w:t>
                            </w:r>
                            <w:r w:rsidRPr="00280FF9">
                              <w:fldChar w:fldCharType="end"/>
                            </w:r>
                            <w:bookmarkEnd w:id="1"/>
                            <w:r w:rsidRPr="00280FF9">
                              <w:t xml:space="preserve"> The key dimensions of an energy system transformation, as taken from the Ene</w:t>
                            </w:r>
                            <w:r>
                              <w:t>r</w:t>
                            </w:r>
                            <w:r w:rsidRPr="00280FF9">
                              <w:t>gy System Transformation Playbook. See the Playbook for more information.</w:t>
                            </w:r>
                          </w:p>
                          <w:p w14:paraId="6708C033" w14:textId="3472EBFB" w:rsidR="00204B26" w:rsidRDefault="00204B2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A7CB38" id="_x0000_t202" coordsize="21600,21600" o:spt="202" path="m,l,21600r21600,l21600,xe">
                <v:stroke joinstyle="miter"/>
                <v:path gradientshapeok="t" o:connecttype="rect"/>
              </v:shapetype>
              <v:shape id="Text Box 2" o:spid="_x0000_s1026" type="#_x0000_t202" style="position:absolute;left:0;text-align:left;margin-left:0;margin-top:345pt;width:478.05pt;height:296.8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" filled="f" stroked="f">
                <v:textbox>
                  <w:txbxContent>
                    <w:p w14:paraId="5CBFA055" w14:textId="77777777" w:rsidR="00204B26" w:rsidRDefault="00204B26" w:rsidP="00940830">
                      <w:pPr>
                        <w:pStyle w:val="Caption"/>
                        <w:spacing w:after="0"/>
                        <w:jc w:val="center"/>
                      </w:pPr>
                      <w:r w:rsidRPr="00204B26">
                        <w:rPr>
                          <w:noProof/>
                          <w:lang w:eastAsia="en-CA"/>
                        </w:rPr>
                        <w:drawing>
                          <wp:inline distT="0" distB="0" distL="0" distR="0" wp14:anchorId="68F9ED29" wp14:editId="7446D754">
                            <wp:extent cx="4995498" cy="32689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1000" t="1420" r="1441" b="7903"/>
                                    <a:stretch/>
                                  </pic:blipFill>
                                  <pic:spPr bwMode="auto">
                                    <a:xfrm>
                                      <a:off x="0" y="0"/>
                                      <a:ext cx="5000782" cy="3272438"/>
                                    </a:xfrm>
                                    <a:prstGeom prst="rect">
                                      <a:avLst/>
                                    </a:prstGeom>
                                    <a:noFill/>
                                    <a:ln>
                                      <a:noFill/>
                                    </a:ln>
                                    <a:extLst>
                                      <a:ext uri="{53640926-AAD7-44D8-BBD7-CCE9431645EC}">
                                        <a14:shadowObscured xmlns:a14="http://schemas.microsoft.com/office/drawing/2010/main"/>
                                      </a:ext>
                                    </a:extLst>
                                  </pic:spPr>
                                </pic:pic>
                              </a:graphicData>
                            </a:graphic>
                          </wp:inline>
                        </w:drawing>
                      </w:r>
                    </w:p>
                    <w:p w14:paraId="020AF420" w14:textId="3E76CF98" w:rsidR="00204B26" w:rsidRPr="00280FF9" w:rsidRDefault="00204B26" w:rsidP="00204B26">
                      <w:pPr>
                        <w:pStyle w:val="Caption"/>
                      </w:pPr>
                      <w:bookmarkStart w:id="2" w:name="_Ref460315846"/>
                      <w:r w:rsidRPr="00280FF9">
                        <w:t xml:space="preserve">Figure </w:t>
                      </w:r>
                      <w:r w:rsidRPr="00280FF9">
                        <w:fldChar w:fldCharType="begin"/>
                      </w:r>
                      <w:r w:rsidRPr="00280FF9">
                        <w:instrText xml:space="preserve"> SEQ Figure \* ARABIC </w:instrText>
                      </w:r>
                      <w:r w:rsidRPr="00280FF9">
                        <w:fldChar w:fldCharType="separate"/>
                      </w:r>
                      <w:r w:rsidR="00394D4A">
                        <w:rPr>
                          <w:noProof/>
                        </w:rPr>
                        <w:t>1</w:t>
                      </w:r>
                      <w:r w:rsidRPr="00280FF9">
                        <w:fldChar w:fldCharType="end"/>
                      </w:r>
                      <w:bookmarkEnd w:id="2"/>
                      <w:r w:rsidRPr="00280FF9">
                        <w:t xml:space="preserve"> The key dimensions of an energy system transformation, as taken from the Ene</w:t>
                      </w:r>
                      <w:r>
                        <w:t>r</w:t>
                      </w:r>
                      <w:r w:rsidRPr="00280FF9">
                        <w:t>gy System Transformation Playbook. See the Playbook for more information.</w:t>
                      </w:r>
                    </w:p>
                    <w:p w14:paraId="6708C033" w14:textId="3472EBFB" w:rsidR="00204B26" w:rsidRDefault="00204B26"/>
                  </w:txbxContent>
                </v:textbox>
                <w10:wrap type="square" anchorx="margin" anchory="margin"/>
              </v:shape>
            </w:pict>
          </mc:Fallback>
        </mc:AlternateContent>
      </w:r>
      <w:r w:rsidR="00D64CDD" w:rsidRPr="00F25D2E">
        <w:rPr>
          <w:rFonts w:ascii="Arial Narrow" w:hAnsi="Arial Narrow"/>
          <w:sz w:val="24"/>
        </w:rPr>
        <w:t xml:space="preserve">With funding from the Carbon Neutral Cities Alliance (CNCA), </w:t>
      </w:r>
      <w:r w:rsidR="00D64CDD" w:rsidRPr="003E1657">
        <w:rPr>
          <w:rFonts w:ascii="Arial Narrow" w:hAnsi="Arial Narrow"/>
          <w:sz w:val="24"/>
        </w:rPr>
        <w:t>Integral Group collaborated with the cities of Boulder, Minneapolis, and Seattle in 2016</w:t>
      </w:r>
      <w:r w:rsidR="00D64CDD" w:rsidRPr="00F25D2E">
        <w:rPr>
          <w:rFonts w:ascii="Arial Narrow" w:hAnsi="Arial Narrow"/>
          <w:sz w:val="24"/>
        </w:rPr>
        <w:t xml:space="preserve"> to develop a step-by-step guide, the </w:t>
      </w:r>
      <w:r w:rsidR="00D64CDD" w:rsidRPr="00940830">
        <w:rPr>
          <w:rFonts w:ascii="Arial Narrow" w:hAnsi="Arial Narrow"/>
          <w:sz w:val="24"/>
        </w:rPr>
        <w:t>Energy System Transformation Playbook</w:t>
      </w:r>
      <w:r w:rsidR="00F25D2E">
        <w:rPr>
          <w:rFonts w:ascii="Arial Narrow" w:hAnsi="Arial Narrow"/>
          <w:sz w:val="24"/>
        </w:rPr>
        <w:t xml:space="preserve"> (Playbook)</w:t>
      </w:r>
      <w:r w:rsidR="00D64CDD" w:rsidRPr="003E1657">
        <w:rPr>
          <w:rFonts w:ascii="Arial Narrow" w:hAnsi="Arial Narrow"/>
          <w:sz w:val="24"/>
        </w:rPr>
        <w:t xml:space="preserve">, to help municipal governments develop </w:t>
      </w:r>
      <w:r w:rsidR="00D64CDD" w:rsidRPr="00F25D2E">
        <w:rPr>
          <w:rFonts w:ascii="Arial Narrow" w:hAnsi="Arial Narrow"/>
          <w:sz w:val="24"/>
        </w:rPr>
        <w:t xml:space="preserve">an Energy System Transformation Strategy. These strategies are intended to help municipal governments take the steps necessary to </w:t>
      </w:r>
      <w:r w:rsidR="006117AD">
        <w:rPr>
          <w:rFonts w:ascii="Arial Narrow" w:hAnsi="Arial Narrow"/>
          <w:sz w:val="24"/>
        </w:rPr>
        <w:t xml:space="preserve">foster </w:t>
      </w:r>
      <w:r w:rsidR="006117AD" w:rsidRPr="006117AD">
        <w:rPr>
          <w:rFonts w:ascii="Arial Narrow" w:hAnsi="Arial Narrow"/>
          <w:sz w:val="24"/>
        </w:rPr>
        <w:t xml:space="preserve">a transition towards </w:t>
      </w:r>
      <w:r w:rsidR="006117AD">
        <w:rPr>
          <w:rFonts w:ascii="Arial Narrow" w:hAnsi="Arial Narrow"/>
          <w:sz w:val="24"/>
        </w:rPr>
        <w:t>zero emission</w:t>
      </w:r>
      <w:r w:rsidR="006117AD" w:rsidRPr="006117AD">
        <w:rPr>
          <w:rFonts w:ascii="Arial Narrow" w:hAnsi="Arial Narrow"/>
          <w:sz w:val="24"/>
        </w:rPr>
        <w:t xml:space="preserve">, resilient, equitable, and decentralized energy systems that can power cities long into the future </w:t>
      </w:r>
      <w:r w:rsidR="006117AD">
        <w:rPr>
          <w:rFonts w:ascii="Arial Narrow" w:hAnsi="Arial Narrow"/>
          <w:sz w:val="24"/>
        </w:rPr>
        <w:t xml:space="preserve">(as </w:t>
      </w:r>
      <w:r w:rsidR="00D64CDD" w:rsidRPr="00F25D2E">
        <w:rPr>
          <w:rFonts w:ascii="Arial Narrow" w:hAnsi="Arial Narrow"/>
          <w:sz w:val="24"/>
        </w:rPr>
        <w:t xml:space="preserve">characterized in </w:t>
      </w:r>
      <w:r>
        <w:rPr>
          <w:rFonts w:ascii="Arial Narrow" w:hAnsi="Arial Narrow"/>
          <w:sz w:val="24"/>
        </w:rPr>
        <w:fldChar w:fldCharType="begin"/>
      </w:r>
      <w:r>
        <w:rPr>
          <w:rFonts w:ascii="Arial Narrow" w:hAnsi="Arial Narrow"/>
          <w:sz w:val="24"/>
        </w:rPr>
        <w:instrText xml:space="preserve"> REF _Ref460315846 \h  \* MERGEFORMAT </w:instrText>
      </w:r>
      <w:r>
        <w:rPr>
          <w:rFonts w:ascii="Arial Narrow" w:hAnsi="Arial Narrow"/>
          <w:sz w:val="24"/>
        </w:rPr>
      </w:r>
      <w:r>
        <w:rPr>
          <w:rFonts w:ascii="Arial Narrow" w:hAnsi="Arial Narrow"/>
          <w:sz w:val="24"/>
        </w:rPr>
        <w:fldChar w:fldCharType="separate"/>
      </w:r>
      <w:r w:rsidR="00394D4A" w:rsidRPr="00394D4A">
        <w:rPr>
          <w:rFonts w:ascii="Arial Narrow" w:hAnsi="Arial Narrow"/>
          <w:sz w:val="24"/>
        </w:rPr>
        <w:t xml:space="preserve">Figure </w:t>
      </w:r>
      <w:r w:rsidR="00394D4A" w:rsidRPr="00394D4A">
        <w:rPr>
          <w:rFonts w:ascii="Arial Narrow" w:hAnsi="Arial Narrow"/>
          <w:sz w:val="24"/>
        </w:rPr>
        <w:t>1</w:t>
      </w:r>
      <w:r>
        <w:rPr>
          <w:rFonts w:ascii="Arial Narrow" w:hAnsi="Arial Narrow"/>
          <w:sz w:val="24"/>
        </w:rPr>
        <w:fldChar w:fldCharType="end"/>
      </w:r>
      <w:r w:rsidR="006117AD">
        <w:rPr>
          <w:rFonts w:ascii="Arial Narrow" w:hAnsi="Arial Narrow"/>
          <w:sz w:val="24"/>
        </w:rPr>
        <w:t>)</w:t>
      </w:r>
      <w:r w:rsidR="00D64CDD" w:rsidRPr="003E1657">
        <w:rPr>
          <w:rFonts w:ascii="Arial Narrow" w:hAnsi="Arial Narrow"/>
          <w:sz w:val="24"/>
        </w:rPr>
        <w:t>. More information on what comprises a city’s or neighborhood’s energy</w:t>
      </w:r>
      <w:r w:rsidR="00D64CDD" w:rsidRPr="00F25D2E">
        <w:rPr>
          <w:rFonts w:ascii="Arial Narrow" w:hAnsi="Arial Narrow"/>
          <w:sz w:val="24"/>
        </w:rPr>
        <w:t xml:space="preserve"> system and what it will take to foster a transition can be found in the </w:t>
      </w:r>
      <w:r w:rsidR="00D64CDD" w:rsidRPr="00940830">
        <w:rPr>
          <w:rFonts w:ascii="Arial Narrow" w:hAnsi="Arial Narrow"/>
          <w:sz w:val="24"/>
        </w:rPr>
        <w:t>Playbook</w:t>
      </w:r>
      <w:r w:rsidR="00D64CDD" w:rsidRPr="003E1657">
        <w:rPr>
          <w:rFonts w:ascii="Arial Narrow" w:hAnsi="Arial Narrow"/>
          <w:sz w:val="24"/>
        </w:rPr>
        <w:t>.</w:t>
      </w:r>
    </w:p>
    <w:p w14:paraId="54305B4F" w14:textId="1C302FC5" w:rsidR="00F25D2E" w:rsidRDefault="00D64CDD" w:rsidP="007D2004">
      <w:pPr>
        <w:tabs>
          <w:tab w:val="left" w:pos="5245"/>
        </w:tabs>
        <w:jc w:val="both"/>
        <w:rPr>
          <w:rFonts w:ascii="Arial Narrow" w:hAnsi="Arial Narrow"/>
          <w:sz w:val="24"/>
        </w:rPr>
      </w:pPr>
      <w:r w:rsidRPr="00F25D2E">
        <w:rPr>
          <w:rFonts w:ascii="Arial Narrow" w:hAnsi="Arial Narrow"/>
          <w:sz w:val="24"/>
        </w:rPr>
        <w:t xml:space="preserve">To assist in the development of the </w:t>
      </w:r>
      <w:r w:rsidRPr="00940830">
        <w:rPr>
          <w:rFonts w:ascii="Arial Narrow" w:hAnsi="Arial Narrow"/>
          <w:sz w:val="24"/>
        </w:rPr>
        <w:t>Playbook</w:t>
      </w:r>
      <w:r w:rsidRPr="003E1657">
        <w:rPr>
          <w:rFonts w:ascii="Arial Narrow" w:hAnsi="Arial Narrow"/>
          <w:sz w:val="24"/>
        </w:rPr>
        <w:t xml:space="preserve">, </w:t>
      </w:r>
      <w:r w:rsidR="00306771" w:rsidRPr="00F25D2E">
        <w:rPr>
          <w:rFonts w:ascii="Arial Narrow" w:hAnsi="Arial Narrow"/>
          <w:sz w:val="24"/>
        </w:rPr>
        <w:t>a draft version of the Playbook was applied to</w:t>
      </w:r>
      <w:r w:rsidR="00F25D2E" w:rsidRPr="00F25D2E">
        <w:rPr>
          <w:rFonts w:ascii="Arial Narrow" w:hAnsi="Arial Narrow"/>
          <w:sz w:val="24"/>
        </w:rPr>
        <w:t xml:space="preserve"> a neighborhood in each of the cities involved in the project. The purpose of applying the Playbook to these neighborhoods was to test its content and process, then collaboratively evaluate the application to determine required adjustments for usability and effectiveness. </w:t>
      </w:r>
      <w:r w:rsidR="00306771" w:rsidRPr="00F25D2E">
        <w:rPr>
          <w:rFonts w:ascii="Arial Narrow" w:hAnsi="Arial Narrow"/>
          <w:sz w:val="24"/>
        </w:rPr>
        <w:t>Lower North Loop</w:t>
      </w:r>
      <w:r w:rsidR="00FD1859" w:rsidRPr="00F25D2E">
        <w:rPr>
          <w:rFonts w:ascii="Arial Narrow" w:hAnsi="Arial Narrow"/>
          <w:sz w:val="24"/>
        </w:rPr>
        <w:t xml:space="preserve"> </w:t>
      </w:r>
      <w:r w:rsidR="00F25D2E" w:rsidRPr="00F25D2E">
        <w:rPr>
          <w:rFonts w:ascii="Arial Narrow" w:hAnsi="Arial Narrow"/>
          <w:sz w:val="24"/>
        </w:rPr>
        <w:t xml:space="preserve">was used as the test neighborhood in </w:t>
      </w:r>
      <w:r w:rsidR="00FD1859" w:rsidRPr="00F25D2E">
        <w:rPr>
          <w:rFonts w:ascii="Arial Narrow" w:hAnsi="Arial Narrow"/>
          <w:sz w:val="24"/>
        </w:rPr>
        <w:t>Minneapolis</w:t>
      </w:r>
      <w:r w:rsidR="00F25D2E" w:rsidRPr="00F25D2E">
        <w:rPr>
          <w:rFonts w:ascii="Arial Narrow" w:hAnsi="Arial Narrow"/>
          <w:sz w:val="24"/>
        </w:rPr>
        <w:t xml:space="preserve">, and </w:t>
      </w:r>
      <w:r w:rsidR="00F25D2E">
        <w:rPr>
          <w:rFonts w:ascii="Arial Narrow" w:hAnsi="Arial Narrow"/>
          <w:sz w:val="24"/>
        </w:rPr>
        <w:t xml:space="preserve">this Lower North Loop </w:t>
      </w:r>
      <w:r w:rsidR="00306771">
        <w:rPr>
          <w:rFonts w:ascii="Arial Narrow" w:hAnsi="Arial Narrow"/>
          <w:sz w:val="24"/>
        </w:rPr>
        <w:t>Energy System Transformation Strategy</w:t>
      </w:r>
      <w:r w:rsidR="00F25D2E">
        <w:rPr>
          <w:rFonts w:ascii="Arial Narrow" w:hAnsi="Arial Narrow"/>
          <w:sz w:val="24"/>
        </w:rPr>
        <w:t xml:space="preserve"> is the result</w:t>
      </w:r>
      <w:r w:rsidR="00306771">
        <w:rPr>
          <w:rFonts w:ascii="Arial Narrow" w:hAnsi="Arial Narrow"/>
          <w:sz w:val="24"/>
        </w:rPr>
        <w:t xml:space="preserve">. </w:t>
      </w:r>
      <w:r w:rsidR="00F25D2E">
        <w:rPr>
          <w:rFonts w:ascii="Arial Narrow" w:hAnsi="Arial Narrow"/>
          <w:sz w:val="24"/>
        </w:rPr>
        <w:t xml:space="preserve">The content of the </w:t>
      </w:r>
      <w:r w:rsidR="00B74ED0">
        <w:rPr>
          <w:rFonts w:ascii="Arial Narrow" w:hAnsi="Arial Narrow"/>
          <w:sz w:val="24"/>
        </w:rPr>
        <w:t>S</w:t>
      </w:r>
      <w:r w:rsidR="00F25D2E">
        <w:rPr>
          <w:rFonts w:ascii="Arial Narrow" w:hAnsi="Arial Narrow"/>
          <w:sz w:val="24"/>
        </w:rPr>
        <w:t xml:space="preserve">trategy, including energy and emissions projections, was developed by Integral Group with input from City staff. This </w:t>
      </w:r>
      <w:r w:rsidR="00B74ED0">
        <w:rPr>
          <w:rFonts w:ascii="Arial Narrow" w:hAnsi="Arial Narrow"/>
          <w:sz w:val="24"/>
        </w:rPr>
        <w:t>S</w:t>
      </w:r>
      <w:r w:rsidR="00F25D2E">
        <w:rPr>
          <w:rFonts w:ascii="Arial Narrow" w:hAnsi="Arial Narrow"/>
          <w:sz w:val="24"/>
        </w:rPr>
        <w:t>trategy is not intended to represent the City’s perspectives on how the neighborhood will develop (e.g. changes in density, development rates). The recommend</w:t>
      </w:r>
      <w:r w:rsidR="00B74ED0">
        <w:rPr>
          <w:rFonts w:ascii="Arial Narrow" w:hAnsi="Arial Narrow"/>
          <w:sz w:val="24"/>
        </w:rPr>
        <w:t xml:space="preserve">ations </w:t>
      </w:r>
      <w:r w:rsidR="00F25D2E">
        <w:rPr>
          <w:rFonts w:ascii="Arial Narrow" w:hAnsi="Arial Narrow"/>
          <w:sz w:val="24"/>
        </w:rPr>
        <w:t xml:space="preserve">are based on Integral Group’s analysis and the guidance provided in the Playbook. The team did not conduct stakeholder engagement </w:t>
      </w:r>
      <w:r w:rsidR="00B74ED0">
        <w:rPr>
          <w:rFonts w:ascii="Arial Narrow" w:hAnsi="Arial Narrow"/>
          <w:sz w:val="24"/>
        </w:rPr>
        <w:t xml:space="preserve">and the recommended strategies and actions are not intended to represent the perspectives or priorities of the City or other stakeholders. </w:t>
      </w:r>
    </w:p>
    <w:p w14:paraId="64F0564D" w14:textId="69CF4632" w:rsidR="00306771" w:rsidRPr="005E0DBD" w:rsidRDefault="00B74ED0" w:rsidP="003E1657">
      <w:pPr>
        <w:tabs>
          <w:tab w:val="left" w:pos="5245"/>
        </w:tabs>
        <w:jc w:val="both"/>
        <w:rPr>
          <w:rFonts w:ascii="Arial Narrow" w:hAnsi="Arial Narrow"/>
          <w:sz w:val="24"/>
        </w:rPr>
      </w:pPr>
      <w:r>
        <w:rPr>
          <w:rFonts w:ascii="Arial Narrow" w:hAnsi="Arial Narrow"/>
          <w:sz w:val="24"/>
        </w:rPr>
        <w:t xml:space="preserve">Rather, this Strategy should be viewed as an example analysis of what it will take for a city or neighborhood to eliminate GHG emissions from its energy system (i.e. decarbonize), both in terms of the types of actions and the scale of effort required. The City of Minneapolis can use the Strategy and the associated Playbook to </w:t>
      </w:r>
      <w:r w:rsidR="00306771">
        <w:rPr>
          <w:rFonts w:ascii="Arial Narrow" w:hAnsi="Arial Narrow"/>
          <w:sz w:val="24"/>
        </w:rPr>
        <w:t xml:space="preserve">inform discussions </w:t>
      </w:r>
      <w:r>
        <w:rPr>
          <w:rFonts w:ascii="Arial Narrow" w:hAnsi="Arial Narrow"/>
          <w:sz w:val="24"/>
        </w:rPr>
        <w:t xml:space="preserve">among </w:t>
      </w:r>
      <w:r w:rsidR="00306771">
        <w:rPr>
          <w:rFonts w:ascii="Arial Narrow" w:hAnsi="Arial Narrow"/>
          <w:sz w:val="24"/>
        </w:rPr>
        <w:t xml:space="preserve">City staff and other stakeholders regarding what the City must achieve to transform its energy system to mitigate climate change, among other priorities. </w:t>
      </w:r>
      <w:r>
        <w:rPr>
          <w:rFonts w:ascii="Arial Narrow" w:hAnsi="Arial Narrow"/>
          <w:sz w:val="24"/>
        </w:rPr>
        <w:t xml:space="preserve">The Strategy </w:t>
      </w:r>
      <w:r w:rsidR="00306771">
        <w:rPr>
          <w:rFonts w:ascii="Arial Narrow" w:hAnsi="Arial Narrow"/>
          <w:sz w:val="24"/>
        </w:rPr>
        <w:t xml:space="preserve">includes an analysis of and resulting strategies and actions for the </w:t>
      </w:r>
      <w:r w:rsidR="00306771" w:rsidRPr="005E0DBD">
        <w:rPr>
          <w:rFonts w:ascii="Arial Narrow" w:hAnsi="Arial Narrow"/>
          <w:sz w:val="24"/>
        </w:rPr>
        <w:t xml:space="preserve">three </w:t>
      </w:r>
      <w:r w:rsidR="00306771">
        <w:rPr>
          <w:rFonts w:ascii="Arial Narrow" w:hAnsi="Arial Narrow"/>
          <w:sz w:val="24"/>
        </w:rPr>
        <w:t xml:space="preserve">urban </w:t>
      </w:r>
      <w:r w:rsidR="00306771" w:rsidRPr="005E0DBD">
        <w:rPr>
          <w:rFonts w:ascii="Arial Narrow" w:hAnsi="Arial Narrow"/>
          <w:sz w:val="24"/>
        </w:rPr>
        <w:t>systems</w:t>
      </w:r>
      <w:r w:rsidR="00306771">
        <w:rPr>
          <w:rFonts w:ascii="Arial Narrow" w:hAnsi="Arial Narrow"/>
          <w:sz w:val="24"/>
        </w:rPr>
        <w:t xml:space="preserve"> that comprise a city’s energy system</w:t>
      </w:r>
      <w:r w:rsidR="00306771" w:rsidRPr="005E0DBD">
        <w:rPr>
          <w:rFonts w:ascii="Arial Narrow" w:hAnsi="Arial Narrow"/>
          <w:sz w:val="24"/>
        </w:rPr>
        <w:t>:</w:t>
      </w:r>
    </w:p>
    <w:p w14:paraId="732BB4D7" w14:textId="77777777" w:rsidR="00306771" w:rsidRPr="005E0DBD" w:rsidRDefault="00306771" w:rsidP="00306771">
      <w:pPr>
        <w:pStyle w:val="ListParagraph"/>
        <w:numPr>
          <w:ilvl w:val="0"/>
          <w:numId w:val="1"/>
        </w:numPr>
        <w:jc w:val="both"/>
        <w:rPr>
          <w:rFonts w:ascii="Arial Narrow" w:hAnsi="Arial Narrow"/>
          <w:sz w:val="24"/>
        </w:rPr>
      </w:pPr>
      <w:r w:rsidRPr="005E0DBD">
        <w:rPr>
          <w:rFonts w:ascii="Arial Narrow" w:hAnsi="Arial Narrow"/>
          <w:b/>
          <w:sz w:val="24"/>
        </w:rPr>
        <w:t>Energy Supply</w:t>
      </w:r>
      <w:r w:rsidRPr="005E0DBD">
        <w:rPr>
          <w:rFonts w:ascii="Arial Narrow" w:hAnsi="Arial Narrow"/>
          <w:sz w:val="24"/>
        </w:rPr>
        <w:t xml:space="preserve">, including both </w:t>
      </w:r>
      <w:r>
        <w:rPr>
          <w:rFonts w:ascii="Arial Narrow" w:hAnsi="Arial Narrow"/>
          <w:sz w:val="24"/>
        </w:rPr>
        <w:t>grid-supplied and smaller on-site or</w:t>
      </w:r>
      <w:r w:rsidRPr="005E0DBD">
        <w:rPr>
          <w:rFonts w:ascii="Arial Narrow" w:hAnsi="Arial Narrow"/>
          <w:sz w:val="24"/>
        </w:rPr>
        <w:t xml:space="preserve"> district scale energy sources;</w:t>
      </w:r>
    </w:p>
    <w:p w14:paraId="6EC59962" w14:textId="77777777" w:rsidR="00306771" w:rsidRPr="005E0DBD" w:rsidRDefault="00306771" w:rsidP="00306771">
      <w:pPr>
        <w:pStyle w:val="ListParagraph"/>
        <w:numPr>
          <w:ilvl w:val="0"/>
          <w:numId w:val="1"/>
        </w:numPr>
        <w:jc w:val="both"/>
        <w:rPr>
          <w:rFonts w:ascii="Arial Narrow" w:hAnsi="Arial Narrow"/>
          <w:sz w:val="24"/>
        </w:rPr>
      </w:pPr>
      <w:r w:rsidRPr="005E0DBD">
        <w:rPr>
          <w:rFonts w:ascii="Arial Narrow" w:hAnsi="Arial Narrow"/>
          <w:b/>
          <w:sz w:val="24"/>
        </w:rPr>
        <w:t>Buildings</w:t>
      </w:r>
      <w:r w:rsidRPr="005E0DBD">
        <w:rPr>
          <w:rFonts w:ascii="Arial Narrow" w:hAnsi="Arial Narrow"/>
          <w:sz w:val="24"/>
        </w:rPr>
        <w:t>, including both new construction and existing buildings, and;</w:t>
      </w:r>
    </w:p>
    <w:p w14:paraId="2D9A396B" w14:textId="77777777" w:rsidR="00306771" w:rsidRPr="00BA4F7F" w:rsidRDefault="00306771" w:rsidP="00306771">
      <w:pPr>
        <w:pStyle w:val="ListParagraph"/>
        <w:numPr>
          <w:ilvl w:val="0"/>
          <w:numId w:val="1"/>
        </w:numPr>
        <w:jc w:val="both"/>
        <w:rPr>
          <w:rFonts w:ascii="Arial Narrow" w:hAnsi="Arial Narrow"/>
          <w:sz w:val="24"/>
        </w:rPr>
      </w:pPr>
      <w:r w:rsidRPr="005E0DBD">
        <w:rPr>
          <w:rFonts w:ascii="Arial Narrow" w:hAnsi="Arial Narrow"/>
          <w:b/>
          <w:sz w:val="24"/>
        </w:rPr>
        <w:t>Transportation</w:t>
      </w:r>
      <w:r w:rsidRPr="005E0DBD">
        <w:rPr>
          <w:rFonts w:ascii="Arial Narrow" w:hAnsi="Arial Narrow"/>
          <w:sz w:val="24"/>
        </w:rPr>
        <w:t>, including the reduction of fossil fuel-based automotive modes of transportation and the support of alternative means, such as cycling, walking, and public transit.</w:t>
      </w:r>
    </w:p>
    <w:p w14:paraId="7D5D45D6" w14:textId="5F62DA62" w:rsidR="00AF732F" w:rsidRPr="00B67C60" w:rsidRDefault="00AF732F" w:rsidP="00394C10">
      <w:pPr>
        <w:spacing w:before="240"/>
        <w:jc w:val="both"/>
        <w:rPr>
          <w:rFonts w:ascii="Arial Narrow" w:hAnsi="Arial Narrow"/>
          <w:sz w:val="24"/>
        </w:rPr>
      </w:pPr>
      <w:r w:rsidRPr="00B67C60">
        <w:rPr>
          <w:rFonts w:ascii="Arial Narrow" w:hAnsi="Arial Narrow"/>
          <w:sz w:val="24"/>
        </w:rPr>
        <w:t xml:space="preserve">The </w:t>
      </w:r>
      <w:r w:rsidR="00E33433">
        <w:rPr>
          <w:rFonts w:ascii="Arial Narrow" w:hAnsi="Arial Narrow"/>
          <w:sz w:val="24"/>
        </w:rPr>
        <w:t>Strategy</w:t>
      </w:r>
      <w:r w:rsidRPr="00B67C60">
        <w:rPr>
          <w:rFonts w:ascii="Arial Narrow" w:hAnsi="Arial Narrow"/>
          <w:sz w:val="24"/>
        </w:rPr>
        <w:t xml:space="preserve"> should be used in conjunction with existing plans and policies at both neighborhood and city scales. The contents of the </w:t>
      </w:r>
      <w:r w:rsidR="008419DA">
        <w:rPr>
          <w:rFonts w:ascii="Arial Narrow" w:hAnsi="Arial Narrow"/>
          <w:sz w:val="24"/>
        </w:rPr>
        <w:t>Strategy</w:t>
      </w:r>
      <w:r w:rsidRPr="00B67C60">
        <w:rPr>
          <w:rFonts w:ascii="Arial Narrow" w:hAnsi="Arial Narrow"/>
          <w:sz w:val="24"/>
        </w:rPr>
        <w:t xml:space="preserve"> include:</w:t>
      </w:r>
    </w:p>
    <w:p w14:paraId="7E4D0F89" w14:textId="77777777" w:rsidR="00AF732F" w:rsidRPr="00B67C60" w:rsidRDefault="00AF732F" w:rsidP="00AF732F">
      <w:pPr>
        <w:pStyle w:val="ListParagraph"/>
        <w:numPr>
          <w:ilvl w:val="0"/>
          <w:numId w:val="2"/>
        </w:numPr>
        <w:jc w:val="both"/>
        <w:rPr>
          <w:rFonts w:ascii="Arial Narrow" w:hAnsi="Arial Narrow"/>
          <w:sz w:val="24"/>
        </w:rPr>
      </w:pPr>
      <w:r w:rsidRPr="00B67C60">
        <w:rPr>
          <w:rFonts w:ascii="Arial Narrow" w:hAnsi="Arial Narrow"/>
          <w:sz w:val="24"/>
        </w:rPr>
        <w:t>A description of the context of Minneapolis as it is relevant to the process of decarbonization, including any barriers or opportunities;</w:t>
      </w:r>
    </w:p>
    <w:p w14:paraId="6D59F114" w14:textId="3BDEC9BF" w:rsidR="00AF732F" w:rsidRPr="00B67C60" w:rsidRDefault="00AF732F" w:rsidP="00AF732F">
      <w:pPr>
        <w:pStyle w:val="ListParagraph"/>
        <w:numPr>
          <w:ilvl w:val="0"/>
          <w:numId w:val="2"/>
        </w:numPr>
        <w:jc w:val="both"/>
        <w:rPr>
          <w:rFonts w:ascii="Arial Narrow" w:hAnsi="Arial Narrow"/>
          <w:sz w:val="24"/>
        </w:rPr>
      </w:pPr>
      <w:r w:rsidRPr="00B67C60">
        <w:rPr>
          <w:rFonts w:ascii="Arial Narrow" w:hAnsi="Arial Narrow"/>
          <w:sz w:val="24"/>
        </w:rPr>
        <w:t xml:space="preserve">A description of the neighborhood of </w:t>
      </w:r>
      <w:r w:rsidR="001A161D">
        <w:rPr>
          <w:rFonts w:ascii="Arial Narrow" w:hAnsi="Arial Narrow"/>
          <w:sz w:val="24"/>
        </w:rPr>
        <w:t>Lower North</w:t>
      </w:r>
      <w:r w:rsidR="001A161D" w:rsidRPr="00B67C60">
        <w:rPr>
          <w:rFonts w:ascii="Arial Narrow" w:hAnsi="Arial Narrow"/>
          <w:sz w:val="24"/>
        </w:rPr>
        <w:t xml:space="preserve"> </w:t>
      </w:r>
      <w:r w:rsidRPr="00B67C60">
        <w:rPr>
          <w:rFonts w:ascii="Arial Narrow" w:hAnsi="Arial Narrow"/>
          <w:sz w:val="24"/>
        </w:rPr>
        <w:t>Loop, including current and projected development profiles;</w:t>
      </w:r>
    </w:p>
    <w:p w14:paraId="2E828547" w14:textId="3BD877AA" w:rsidR="00AF732F" w:rsidRPr="00B67C60" w:rsidRDefault="00AF732F" w:rsidP="00AF732F">
      <w:pPr>
        <w:pStyle w:val="ListParagraph"/>
        <w:numPr>
          <w:ilvl w:val="0"/>
          <w:numId w:val="2"/>
        </w:numPr>
        <w:jc w:val="both"/>
        <w:rPr>
          <w:rFonts w:ascii="Arial Narrow" w:hAnsi="Arial Narrow"/>
          <w:sz w:val="24"/>
        </w:rPr>
      </w:pPr>
      <w:r w:rsidRPr="00B67C60">
        <w:rPr>
          <w:rFonts w:ascii="Arial Narrow" w:hAnsi="Arial Narrow"/>
          <w:sz w:val="24"/>
        </w:rPr>
        <w:t>A description of the neighborhood’s current energy and emissions profile, including the broad trajectory required to transition to zero carbon;</w:t>
      </w:r>
      <w:r w:rsidR="00B75622">
        <w:rPr>
          <w:rFonts w:ascii="Arial Narrow" w:hAnsi="Arial Narrow"/>
          <w:sz w:val="24"/>
        </w:rPr>
        <w:t xml:space="preserve"> and</w:t>
      </w:r>
    </w:p>
    <w:p w14:paraId="1FFB4E7D" w14:textId="77777777" w:rsidR="00204B26" w:rsidRPr="003E1657" w:rsidRDefault="00AF732F" w:rsidP="00B75622">
      <w:pPr>
        <w:pStyle w:val="ListParagraph"/>
        <w:numPr>
          <w:ilvl w:val="0"/>
          <w:numId w:val="2"/>
        </w:numPr>
        <w:jc w:val="both"/>
        <w:rPr>
          <w:rFonts w:ascii="Arial Narrow" w:hAnsi="Arial Narrow"/>
          <w:sz w:val="24"/>
        </w:rPr>
      </w:pPr>
      <w:r w:rsidRPr="00B67C60">
        <w:rPr>
          <w:rFonts w:ascii="Arial Narrow" w:hAnsi="Arial Narrow"/>
          <w:sz w:val="24"/>
        </w:rPr>
        <w:t>A list and explanation of relevant strategies and actions to be taken over the next 5-10 years</w:t>
      </w:r>
      <w:r w:rsidR="00B75622">
        <w:rPr>
          <w:rFonts w:ascii="Arial Narrow" w:hAnsi="Arial Narrow"/>
          <w:sz w:val="24"/>
        </w:rPr>
        <w:t>.</w:t>
      </w:r>
    </w:p>
    <w:p w14:paraId="132302BF" w14:textId="06FED945" w:rsidR="00C322D6" w:rsidRPr="00940830" w:rsidRDefault="00C322D6" w:rsidP="00940830">
      <w:pPr>
        <w:jc w:val="both"/>
        <w:rPr>
          <w:rFonts w:ascii="Arial Narrow" w:eastAsiaTheme="majorEastAsia" w:hAnsi="Arial Narrow" w:cstheme="majorBidi"/>
          <w:b/>
          <w:caps/>
          <w:spacing w:val="30"/>
          <w:kern w:val="24"/>
          <w:sz w:val="32"/>
          <w:szCs w:val="26"/>
        </w:rPr>
      </w:pPr>
      <w:r w:rsidRPr="00940830">
        <w:rPr>
          <w:rFonts w:ascii="Arial Narrow" w:hAnsi="Arial Narrow"/>
          <w:sz w:val="32"/>
        </w:rPr>
        <w:br w:type="page"/>
      </w:r>
    </w:p>
    <w:p w14:paraId="5508105E" w14:textId="11D266C0" w:rsidR="00AF732F" w:rsidRPr="00306771" w:rsidRDefault="009D1653" w:rsidP="00394C10">
      <w:pPr>
        <w:pStyle w:val="Heading1"/>
      </w:pPr>
      <w:bookmarkStart w:id="3" w:name="_Toc460348770"/>
      <w:r w:rsidRPr="00306771">
        <w:t>Shifting Minneapolis Towards Zero Emissions</w:t>
      </w:r>
      <w:bookmarkEnd w:id="3"/>
    </w:p>
    <w:p w14:paraId="3168D172" w14:textId="27A5802D" w:rsidR="00AF732F" w:rsidRPr="00B67C60" w:rsidRDefault="00AF732F" w:rsidP="00AF732F">
      <w:pPr>
        <w:spacing w:line="276" w:lineRule="auto"/>
        <w:jc w:val="both"/>
        <w:rPr>
          <w:rFonts w:ascii="Arial Narrow" w:hAnsi="Arial Narrow"/>
          <w:sz w:val="24"/>
          <w:szCs w:val="24"/>
        </w:rPr>
      </w:pPr>
      <w:r w:rsidRPr="00B67C60">
        <w:rPr>
          <w:rFonts w:ascii="Arial Narrow" w:hAnsi="Arial Narrow"/>
          <w:sz w:val="24"/>
          <w:szCs w:val="24"/>
        </w:rPr>
        <w:t>A process of decarbonization in the city of Minneapolis will be facilitated by a number of existing structures and actions. To begin, the city’s political system is</w:t>
      </w:r>
      <w:r w:rsidR="00B75622">
        <w:rPr>
          <w:rFonts w:ascii="Arial Narrow" w:hAnsi="Arial Narrow"/>
          <w:sz w:val="24"/>
          <w:szCs w:val="24"/>
        </w:rPr>
        <w:t xml:space="preserve"> characterized by a weak-mayor/</w:t>
      </w:r>
      <w:r w:rsidRPr="00B67C60">
        <w:rPr>
          <w:rFonts w:ascii="Arial Narrow" w:hAnsi="Arial Narrow"/>
          <w:sz w:val="24"/>
          <w:szCs w:val="24"/>
        </w:rPr>
        <w:t xml:space="preserve">strong-council form of government, with twelve council members belonging to the Democratic-Farmer-Labor (DFL) Party of Minnesota and one to the Green Party. This political </w:t>
      </w:r>
      <w:r w:rsidR="00FD1859">
        <w:rPr>
          <w:rFonts w:ascii="Arial Narrow" w:hAnsi="Arial Narrow"/>
          <w:sz w:val="24"/>
          <w:szCs w:val="24"/>
        </w:rPr>
        <w:t>leadership</w:t>
      </w:r>
      <w:r w:rsidR="00FD1859" w:rsidRPr="00B67C60">
        <w:rPr>
          <w:rFonts w:ascii="Arial Narrow" w:hAnsi="Arial Narrow"/>
          <w:sz w:val="24"/>
          <w:szCs w:val="24"/>
        </w:rPr>
        <w:t xml:space="preserve"> </w:t>
      </w:r>
      <w:r w:rsidRPr="00B67C60">
        <w:rPr>
          <w:rFonts w:ascii="Arial Narrow" w:hAnsi="Arial Narrow"/>
          <w:sz w:val="24"/>
          <w:szCs w:val="24"/>
        </w:rPr>
        <w:t xml:space="preserve">and the accompanied support of the public has contributed to a long history of greenhouse gas emission reduction strategies, beginning with the adoption of the </w:t>
      </w:r>
      <w:r w:rsidRPr="00B67C60">
        <w:rPr>
          <w:rFonts w:ascii="Arial Narrow" w:hAnsi="Arial Narrow"/>
          <w:i/>
          <w:sz w:val="24"/>
          <w:szCs w:val="24"/>
        </w:rPr>
        <w:t>Minneapolis/Saint-Paul</w:t>
      </w:r>
      <w:r w:rsidRPr="00B67C60">
        <w:rPr>
          <w:rFonts w:ascii="Arial Narrow" w:hAnsi="Arial Narrow"/>
          <w:sz w:val="24"/>
          <w:szCs w:val="24"/>
        </w:rPr>
        <w:t xml:space="preserve"> </w:t>
      </w:r>
      <w:r w:rsidRPr="00B67C60">
        <w:rPr>
          <w:rFonts w:ascii="Arial Narrow" w:hAnsi="Arial Narrow"/>
          <w:i/>
          <w:sz w:val="24"/>
          <w:szCs w:val="24"/>
        </w:rPr>
        <w:t>Urban CO2 Project Plan</w:t>
      </w:r>
      <w:r w:rsidRPr="00B67C60">
        <w:rPr>
          <w:rFonts w:ascii="Arial Narrow" w:hAnsi="Arial Narrow"/>
          <w:sz w:val="24"/>
          <w:szCs w:val="24"/>
        </w:rPr>
        <w:t xml:space="preserve"> in 1993. </w:t>
      </w:r>
    </w:p>
    <w:p w14:paraId="1D37E074" w14:textId="27D25687" w:rsidR="00AF732F" w:rsidRPr="00B67C60" w:rsidRDefault="00AF732F" w:rsidP="00AF732F">
      <w:pPr>
        <w:spacing w:line="276" w:lineRule="auto"/>
        <w:jc w:val="both"/>
        <w:rPr>
          <w:rFonts w:ascii="Arial Narrow" w:hAnsi="Arial Narrow"/>
          <w:sz w:val="24"/>
          <w:szCs w:val="24"/>
        </w:rPr>
      </w:pPr>
      <w:r w:rsidRPr="00B67C60">
        <w:rPr>
          <w:rFonts w:ascii="Arial Narrow" w:hAnsi="Arial Narrow"/>
          <w:sz w:val="24"/>
          <w:szCs w:val="24"/>
        </w:rPr>
        <w:t xml:space="preserve">More recently, Minneapolis formed the </w:t>
      </w:r>
      <w:r w:rsidRPr="00B67C60">
        <w:rPr>
          <w:rFonts w:ascii="Arial Narrow" w:hAnsi="Arial Narrow"/>
          <w:i/>
          <w:sz w:val="24"/>
          <w:szCs w:val="24"/>
        </w:rPr>
        <w:t>Minneapolis Clean Energy Partnership</w:t>
      </w:r>
      <w:r w:rsidRPr="00B67C60">
        <w:rPr>
          <w:rFonts w:ascii="Arial Narrow" w:hAnsi="Arial Narrow"/>
          <w:sz w:val="24"/>
          <w:szCs w:val="24"/>
        </w:rPr>
        <w:t xml:space="preserve">, a </w:t>
      </w:r>
      <w:r w:rsidR="00FD1859">
        <w:rPr>
          <w:rFonts w:ascii="Arial Narrow" w:hAnsi="Arial Narrow"/>
          <w:sz w:val="24"/>
          <w:szCs w:val="24"/>
        </w:rPr>
        <w:t>partnership</w:t>
      </w:r>
      <w:r w:rsidRPr="00B67C60">
        <w:rPr>
          <w:rFonts w:ascii="Arial Narrow" w:hAnsi="Arial Narrow"/>
          <w:sz w:val="24"/>
          <w:szCs w:val="24"/>
        </w:rPr>
        <w:t xml:space="preserve"> between the City and its </w:t>
      </w:r>
      <w:r w:rsidR="00FD1859">
        <w:rPr>
          <w:rFonts w:ascii="Arial Narrow" w:hAnsi="Arial Narrow"/>
          <w:sz w:val="24"/>
          <w:szCs w:val="24"/>
        </w:rPr>
        <w:t>electric and gas</w:t>
      </w:r>
      <w:r w:rsidRPr="00B67C60">
        <w:rPr>
          <w:rFonts w:ascii="Arial Narrow" w:hAnsi="Arial Narrow"/>
          <w:sz w:val="24"/>
          <w:szCs w:val="24"/>
        </w:rPr>
        <w:t xml:space="preserve"> utilities, Xcel Energy and CenterPoint Energy. The intent behind this formal relationship has been to align the carbon reduction objectives of the energy utilities with those of Minneapolis, as well as the State of Minnesota’s renewable portfolio standard. Although this partnership ultimately limits Minneapolis’ independence in terms of its own energy supply, it forces private energy companies to seek innovative ways of reducing carbon emissions, while increasing investment in renewable energy technology. </w:t>
      </w:r>
    </w:p>
    <w:p w14:paraId="03AA740C" w14:textId="156FC98E" w:rsidR="00AF732F" w:rsidRPr="00B67C60" w:rsidRDefault="00AF732F" w:rsidP="00AF732F">
      <w:pPr>
        <w:spacing w:line="276" w:lineRule="auto"/>
        <w:jc w:val="both"/>
        <w:rPr>
          <w:rFonts w:ascii="Arial Narrow" w:hAnsi="Arial Narrow"/>
          <w:sz w:val="24"/>
          <w:szCs w:val="24"/>
        </w:rPr>
      </w:pPr>
      <w:r w:rsidRPr="00B67C60">
        <w:rPr>
          <w:rFonts w:ascii="Arial Narrow" w:hAnsi="Arial Narrow"/>
          <w:sz w:val="24"/>
          <w:szCs w:val="24"/>
        </w:rPr>
        <w:t xml:space="preserve">These carbon reduction efforts have been also substantiated by Minnesota’s </w:t>
      </w:r>
      <w:r w:rsidRPr="00B67C60">
        <w:rPr>
          <w:rFonts w:ascii="Arial Narrow" w:hAnsi="Arial Narrow"/>
          <w:i/>
          <w:sz w:val="24"/>
          <w:szCs w:val="24"/>
        </w:rPr>
        <w:t>Conservation Improvement Program</w:t>
      </w:r>
      <w:r w:rsidRPr="00B67C60">
        <w:rPr>
          <w:rFonts w:ascii="Arial Narrow" w:hAnsi="Arial Narrow"/>
          <w:sz w:val="24"/>
          <w:szCs w:val="24"/>
        </w:rPr>
        <w:t>, which requires public utilities to invest a portion of their revenues in projects designed to reduce thei</w:t>
      </w:r>
      <w:r w:rsidR="00B75622">
        <w:rPr>
          <w:rFonts w:ascii="Arial Narrow" w:hAnsi="Arial Narrow"/>
          <w:sz w:val="24"/>
          <w:szCs w:val="24"/>
        </w:rPr>
        <w:t>r customers’ energy consumption</w:t>
      </w:r>
      <w:r w:rsidRPr="00B67C60">
        <w:rPr>
          <w:rFonts w:ascii="Arial Narrow" w:hAnsi="Arial Narrow"/>
          <w:sz w:val="24"/>
          <w:szCs w:val="24"/>
        </w:rPr>
        <w:t xml:space="preserve"> and improve energy efficiency. In addition to these existing actions and powers, Minneapolis’ large-scale wind capacity has increased by a factor of 10 between 1999 and 2011, demonstrating the city’s potential to scale up its renewable energy generation. Wind energy currently provides 17% of the state’s renewable energy portfolio. The </w:t>
      </w:r>
      <w:r w:rsidRPr="00B67C60">
        <w:rPr>
          <w:rFonts w:ascii="Arial Narrow" w:hAnsi="Arial Narrow"/>
          <w:i/>
          <w:sz w:val="24"/>
          <w:szCs w:val="24"/>
        </w:rPr>
        <w:t>Energy Innovation Corridor</w:t>
      </w:r>
      <w:r w:rsidRPr="00B67C60">
        <w:rPr>
          <w:rFonts w:ascii="Arial Narrow" w:hAnsi="Arial Narrow"/>
          <w:sz w:val="24"/>
          <w:szCs w:val="24"/>
        </w:rPr>
        <w:t xml:space="preserve">, a transportation and energy showcase along an eleven-mile light rail route between downtown Minneapolis and </w:t>
      </w:r>
      <w:r w:rsidR="00FD1859">
        <w:rPr>
          <w:rFonts w:ascii="Arial Narrow" w:hAnsi="Arial Narrow"/>
          <w:sz w:val="24"/>
          <w:szCs w:val="24"/>
        </w:rPr>
        <w:t>downtown</w:t>
      </w:r>
      <w:r w:rsidRPr="00B67C60">
        <w:rPr>
          <w:rFonts w:ascii="Arial Narrow" w:hAnsi="Arial Narrow"/>
          <w:sz w:val="24"/>
          <w:szCs w:val="24"/>
        </w:rPr>
        <w:t xml:space="preserve"> St. Paul, has </w:t>
      </w:r>
      <w:r w:rsidR="00B75622">
        <w:rPr>
          <w:rFonts w:ascii="Arial Narrow" w:hAnsi="Arial Narrow"/>
          <w:sz w:val="24"/>
          <w:szCs w:val="24"/>
        </w:rPr>
        <w:t>further</w:t>
      </w:r>
      <w:r w:rsidRPr="00B67C60">
        <w:rPr>
          <w:rFonts w:ascii="Arial Narrow" w:hAnsi="Arial Narrow"/>
          <w:sz w:val="24"/>
          <w:szCs w:val="24"/>
        </w:rPr>
        <w:t xml:space="preserve"> encouraged innovation through energy efficiency strategies, renewable energy production, clean transportation, and smart technologies.</w:t>
      </w:r>
    </w:p>
    <w:p w14:paraId="5A9BDC39" w14:textId="4FBC83EE" w:rsidR="00AF732F" w:rsidRPr="00306771" w:rsidRDefault="009D1653" w:rsidP="00394C10">
      <w:pPr>
        <w:pStyle w:val="Heading2"/>
      </w:pPr>
      <w:bookmarkStart w:id="4" w:name="_Toc460348771"/>
      <w:r>
        <w:t>A Solid Foundation</w:t>
      </w:r>
      <w:bookmarkEnd w:id="4"/>
    </w:p>
    <w:p w14:paraId="285C636E" w14:textId="42A37A47" w:rsidR="00AF732F" w:rsidRPr="00B67C60" w:rsidRDefault="00AF732F" w:rsidP="00AF732F">
      <w:pPr>
        <w:spacing w:line="276" w:lineRule="auto"/>
        <w:jc w:val="both"/>
        <w:rPr>
          <w:rFonts w:ascii="Arial Narrow" w:hAnsi="Arial Narrow"/>
          <w:sz w:val="24"/>
          <w:szCs w:val="24"/>
        </w:rPr>
      </w:pPr>
      <w:r w:rsidRPr="00B67C60">
        <w:rPr>
          <w:rFonts w:ascii="Arial Narrow" w:hAnsi="Arial Narrow"/>
          <w:sz w:val="24"/>
          <w:szCs w:val="24"/>
        </w:rPr>
        <w:t xml:space="preserve">To take a city through the energy </w:t>
      </w:r>
      <w:r w:rsidR="00A3265F">
        <w:rPr>
          <w:rFonts w:ascii="Arial Narrow" w:hAnsi="Arial Narrow"/>
          <w:sz w:val="24"/>
          <w:szCs w:val="24"/>
        </w:rPr>
        <w:t>system transformation</w:t>
      </w:r>
      <w:r w:rsidRPr="00B67C60">
        <w:rPr>
          <w:rFonts w:ascii="Arial Narrow" w:hAnsi="Arial Narrow"/>
          <w:sz w:val="24"/>
          <w:szCs w:val="24"/>
        </w:rPr>
        <w:t xml:space="preserve"> requires resources. Fortunately, the city of Minneapolis has a strong economic base, ranked thirteenth in terms of GDP across the U.S. Its economy is derived from commercial, financial, rail and transport, health care, and industrial sectors, making for a rich and diversified economy and the creation of several job opportunities across the city. With an unemployment rate of 2.8%, Minneapolis sits well below the U.S. national average of 5%. Its population is well educated, with 47% of the population over 25 years of age in possession of a bachelor’s degree or higher, providing a labor force well-suited for complex energy system transformation. </w:t>
      </w:r>
    </w:p>
    <w:p w14:paraId="7B5F3BF0" w14:textId="77777777" w:rsidR="00AF732F" w:rsidRPr="00B67C60" w:rsidRDefault="00AF732F" w:rsidP="00AF732F">
      <w:pPr>
        <w:spacing w:line="276" w:lineRule="auto"/>
        <w:jc w:val="both"/>
        <w:rPr>
          <w:rFonts w:ascii="Arial Narrow" w:hAnsi="Arial Narrow"/>
          <w:sz w:val="24"/>
          <w:szCs w:val="24"/>
        </w:rPr>
      </w:pPr>
      <w:r w:rsidRPr="00B67C60">
        <w:rPr>
          <w:rFonts w:ascii="Arial Narrow" w:hAnsi="Arial Narrow"/>
          <w:sz w:val="24"/>
          <w:szCs w:val="24"/>
        </w:rPr>
        <w:t xml:space="preserve">The City has furthermore taken advantage of the </w:t>
      </w:r>
      <w:r w:rsidRPr="00B67C60">
        <w:rPr>
          <w:rFonts w:ascii="Arial Narrow" w:hAnsi="Arial Narrow"/>
          <w:i/>
          <w:sz w:val="24"/>
          <w:szCs w:val="24"/>
        </w:rPr>
        <w:t>Energy Efficiency Community Block Grant</w:t>
      </w:r>
      <w:r w:rsidRPr="00B67C60">
        <w:rPr>
          <w:rFonts w:ascii="Arial Narrow" w:hAnsi="Arial Narrow"/>
          <w:sz w:val="24"/>
          <w:szCs w:val="24"/>
        </w:rPr>
        <w:t xml:space="preserve"> developed under the 2009 American Recovery and Reinvestment Act in order to stimulate economic development while encouraging the uptake of energy efficiency and renewable energy technologies. The strategies deployed under this program have further stimulated its economy by providing loans and microgrants for carbon reduction actions, job training within the renewable energy sector, and cost savings through support for building energy audits. </w:t>
      </w:r>
    </w:p>
    <w:p w14:paraId="0F8B633F" w14:textId="20A558B0" w:rsidR="00AF732F" w:rsidRPr="00B67C60" w:rsidRDefault="00AF732F" w:rsidP="00AF732F">
      <w:pPr>
        <w:spacing w:line="276" w:lineRule="auto"/>
        <w:jc w:val="both"/>
        <w:rPr>
          <w:rFonts w:ascii="Arial Narrow" w:hAnsi="Arial Narrow"/>
          <w:sz w:val="24"/>
          <w:szCs w:val="24"/>
        </w:rPr>
      </w:pPr>
      <w:r w:rsidRPr="00B67C60">
        <w:rPr>
          <w:rFonts w:ascii="Arial Narrow" w:hAnsi="Arial Narrow"/>
          <w:sz w:val="24"/>
          <w:szCs w:val="24"/>
        </w:rPr>
        <w:t xml:space="preserve">The City’s existing support programs and technological capacity will also support the </w:t>
      </w:r>
      <w:r w:rsidR="00A3265F">
        <w:rPr>
          <w:rFonts w:ascii="Arial Narrow" w:hAnsi="Arial Narrow"/>
          <w:sz w:val="24"/>
          <w:szCs w:val="24"/>
        </w:rPr>
        <w:t>transformation</w:t>
      </w:r>
      <w:r w:rsidRPr="00B67C60">
        <w:rPr>
          <w:rFonts w:ascii="Arial Narrow" w:hAnsi="Arial Narrow"/>
          <w:sz w:val="24"/>
          <w:szCs w:val="24"/>
        </w:rPr>
        <w:t xml:space="preserve">, enhanced by the presence of Mortenson’s headquarters in Minneapolis, an industry leader in wind turbine installations.  Although solar energy generation has been relatively less productive, Minnesota Community Solar currently provides opportunities for residents to either provide land for a solar garden, or to purchase electricity from solar gardens installed elsewhere. Minneapolis experiences an average of 198 sunny days during the year, which is less than the U.S. average of 205, but solar still remains a viable source of energy generation. The Minnesota Solar Suitability Analysis App allows residents of Minnesota to evaluate their solar potential and determine whether it is something they would like to pursue. The </w:t>
      </w:r>
      <w:r w:rsidRPr="00B75622">
        <w:rPr>
          <w:rFonts w:ascii="Arial Narrow" w:hAnsi="Arial Narrow"/>
          <w:i/>
          <w:sz w:val="24"/>
          <w:szCs w:val="24"/>
        </w:rPr>
        <w:t>Made in Minnesota Solar Incentive Program</w:t>
      </w:r>
      <w:r w:rsidRPr="00B67C60">
        <w:rPr>
          <w:rFonts w:ascii="Arial Narrow" w:hAnsi="Arial Narrow"/>
          <w:sz w:val="24"/>
          <w:szCs w:val="24"/>
        </w:rPr>
        <w:t xml:space="preserve"> also provides incentives for consumers who install PV and solar thermal systems using solar modules and collectors certified as manufacture</w:t>
      </w:r>
      <w:r w:rsidR="00FD1859">
        <w:rPr>
          <w:rFonts w:ascii="Arial Narrow" w:hAnsi="Arial Narrow"/>
          <w:sz w:val="24"/>
          <w:szCs w:val="24"/>
        </w:rPr>
        <w:t>d</w:t>
      </w:r>
      <w:r w:rsidRPr="00B67C60">
        <w:rPr>
          <w:rFonts w:ascii="Arial Narrow" w:hAnsi="Arial Narrow"/>
          <w:sz w:val="24"/>
          <w:szCs w:val="24"/>
        </w:rPr>
        <w:t xml:space="preserve"> in Minnesota.  </w:t>
      </w:r>
    </w:p>
    <w:p w14:paraId="35F145DA" w14:textId="0E1E1370" w:rsidR="00AF732F" w:rsidRPr="00B67C60" w:rsidRDefault="009D1653" w:rsidP="00394C10">
      <w:pPr>
        <w:pStyle w:val="Heading2"/>
      </w:pPr>
      <w:bookmarkStart w:id="5" w:name="_Toc460348772"/>
      <w:r>
        <w:t>Sustainability for All</w:t>
      </w:r>
      <w:bookmarkEnd w:id="5"/>
    </w:p>
    <w:p w14:paraId="04119CEF" w14:textId="346342A1" w:rsidR="00AF732F" w:rsidRPr="00B67C60" w:rsidRDefault="00AF732F" w:rsidP="00AF732F">
      <w:pPr>
        <w:spacing w:line="276" w:lineRule="auto"/>
        <w:jc w:val="both"/>
        <w:rPr>
          <w:rFonts w:ascii="Arial Narrow" w:hAnsi="Arial Narrow"/>
          <w:sz w:val="24"/>
          <w:szCs w:val="24"/>
        </w:rPr>
      </w:pPr>
      <w:r w:rsidRPr="00B67C60">
        <w:rPr>
          <w:rFonts w:ascii="Arial Narrow" w:hAnsi="Arial Narrow"/>
          <w:sz w:val="24"/>
          <w:szCs w:val="24"/>
        </w:rPr>
        <w:t xml:space="preserve">The cost of living, including the cost of electricity, is another important dimension of the energy </w:t>
      </w:r>
      <w:r w:rsidR="00A3265F">
        <w:rPr>
          <w:rFonts w:ascii="Arial Narrow" w:hAnsi="Arial Narrow"/>
          <w:sz w:val="24"/>
          <w:szCs w:val="24"/>
        </w:rPr>
        <w:t>system transformation</w:t>
      </w:r>
      <w:r w:rsidRPr="00B67C60">
        <w:rPr>
          <w:rFonts w:ascii="Arial Narrow" w:hAnsi="Arial Narrow"/>
          <w:sz w:val="24"/>
          <w:szCs w:val="24"/>
        </w:rPr>
        <w:t xml:space="preserve">. Minneapolis’ residential and commercial electricity rates are already lower than the national average, but the average industrial electricity rate is greater – a potential cost barrier when switching to higher use of low and no-carbon electricity. Minneapolis also continues to experience high levels of inequality, with a Gini coefficient of 51.1 and 22.6% of its population in poverty. This trend is particularly evident in homeownership disparities among racial and ethnic groups, likely to be worsened with the disappearance of entry level homes in favor of higher-end properties over $1 million. The recent housing affordability index also indicates increasing housing prices relative to income. Addressing these racial, ethnic, and socio-economic inequalities is therefore important to address in the design of carbon reduction strategies, as little progress can be made if the basic needs of </w:t>
      </w:r>
      <w:r w:rsidR="001620D3">
        <w:rPr>
          <w:rFonts w:ascii="Arial Narrow" w:hAnsi="Arial Narrow"/>
          <w:sz w:val="24"/>
          <w:szCs w:val="24"/>
        </w:rPr>
        <w:t>resident</w:t>
      </w:r>
      <w:r w:rsidR="001620D3" w:rsidRPr="00B67C60">
        <w:rPr>
          <w:rFonts w:ascii="Arial Narrow" w:hAnsi="Arial Narrow"/>
          <w:sz w:val="24"/>
          <w:szCs w:val="24"/>
        </w:rPr>
        <w:t xml:space="preserve">s </w:t>
      </w:r>
      <w:r w:rsidRPr="00B67C60">
        <w:rPr>
          <w:rFonts w:ascii="Arial Narrow" w:hAnsi="Arial Narrow"/>
          <w:sz w:val="24"/>
          <w:szCs w:val="24"/>
        </w:rPr>
        <w:t>are not first met.</w:t>
      </w:r>
    </w:p>
    <w:p w14:paraId="62C36119" w14:textId="5C5693BD" w:rsidR="001D7220" w:rsidRDefault="00753C57" w:rsidP="001D7220">
      <w:pPr>
        <w:pStyle w:val="Heading2"/>
      </w:pPr>
      <w:bookmarkStart w:id="6" w:name="_Toc460348773"/>
      <w:r>
        <w:t>Sphere of Influence</w:t>
      </w:r>
      <w:bookmarkEnd w:id="6"/>
    </w:p>
    <w:p w14:paraId="7C70F756" w14:textId="7FF65CC8" w:rsidR="001D7220" w:rsidRDefault="001D7220" w:rsidP="001D7220">
      <w:pPr>
        <w:spacing w:line="276" w:lineRule="auto"/>
        <w:jc w:val="both"/>
        <w:rPr>
          <w:rFonts w:ascii="Arial Narrow" w:hAnsi="Arial Narrow"/>
          <w:sz w:val="24"/>
          <w:szCs w:val="24"/>
        </w:rPr>
      </w:pPr>
      <w:r>
        <w:rPr>
          <w:rFonts w:ascii="Arial Narrow" w:hAnsi="Arial Narrow"/>
          <w:sz w:val="24"/>
          <w:szCs w:val="24"/>
        </w:rPr>
        <w:t xml:space="preserve">The </w:t>
      </w:r>
      <w:r w:rsidRPr="00C22F21">
        <w:rPr>
          <w:rFonts w:ascii="Arial Narrow" w:hAnsi="Arial Narrow"/>
          <w:sz w:val="24"/>
          <w:szCs w:val="24"/>
        </w:rPr>
        <w:t>approach</w:t>
      </w:r>
      <w:r>
        <w:rPr>
          <w:rFonts w:ascii="Arial Narrow" w:hAnsi="Arial Narrow"/>
          <w:sz w:val="24"/>
          <w:szCs w:val="24"/>
        </w:rPr>
        <w:t>es</w:t>
      </w:r>
      <w:r w:rsidRPr="00C22F21">
        <w:rPr>
          <w:rFonts w:ascii="Arial Narrow" w:hAnsi="Arial Narrow"/>
          <w:sz w:val="24"/>
          <w:szCs w:val="24"/>
        </w:rPr>
        <w:t xml:space="preserve"> a city selects to </w:t>
      </w:r>
      <w:r>
        <w:rPr>
          <w:rFonts w:ascii="Arial Narrow" w:hAnsi="Arial Narrow"/>
          <w:sz w:val="24"/>
          <w:szCs w:val="24"/>
        </w:rPr>
        <w:t xml:space="preserve">undertake </w:t>
      </w:r>
      <w:r w:rsidRPr="00C22F21">
        <w:rPr>
          <w:rFonts w:ascii="Arial Narrow" w:hAnsi="Arial Narrow"/>
          <w:sz w:val="24"/>
          <w:szCs w:val="24"/>
        </w:rPr>
        <w:t xml:space="preserve">an energy system transformation depend partly on the extent of their influence or control over the </w:t>
      </w:r>
      <w:r w:rsidR="008D48FE">
        <w:rPr>
          <w:rFonts w:ascii="Arial Narrow" w:hAnsi="Arial Narrow"/>
          <w:sz w:val="24"/>
          <w:szCs w:val="24"/>
        </w:rPr>
        <w:t xml:space="preserve">urban </w:t>
      </w:r>
      <w:r w:rsidRPr="00C22F21">
        <w:rPr>
          <w:rFonts w:ascii="Arial Narrow" w:hAnsi="Arial Narrow"/>
          <w:sz w:val="24"/>
          <w:szCs w:val="24"/>
        </w:rPr>
        <w:t xml:space="preserve">system component in question. Municipal powers over different assets, functions, or decision-making structures vary according to their jurisdiction and circumstances. While one city may have full control over their building code, others may be required to conform to state regulations over building form and energy efficiency. </w:t>
      </w:r>
    </w:p>
    <w:p w14:paraId="14CD96BB" w14:textId="7839CED1" w:rsidR="001D7220" w:rsidRDefault="001D7220" w:rsidP="001D7220">
      <w:pPr>
        <w:spacing w:line="276" w:lineRule="auto"/>
        <w:jc w:val="both"/>
        <w:rPr>
          <w:rFonts w:ascii="Arial Narrow" w:hAnsi="Arial Narrow"/>
          <w:sz w:val="24"/>
          <w:szCs w:val="24"/>
        </w:rPr>
      </w:pPr>
      <w:r>
        <w:rPr>
          <w:rFonts w:ascii="Arial Narrow" w:hAnsi="Arial Narrow"/>
          <w:sz w:val="24"/>
          <w:szCs w:val="24"/>
        </w:rPr>
        <w:t xml:space="preserve">The CNCA Playbook offers a </w:t>
      </w:r>
      <w:r w:rsidRPr="00C22F21">
        <w:rPr>
          <w:rFonts w:ascii="Arial Narrow" w:hAnsi="Arial Narrow"/>
          <w:i/>
          <w:sz w:val="24"/>
          <w:szCs w:val="24"/>
        </w:rPr>
        <w:t xml:space="preserve">sphere of </w:t>
      </w:r>
      <w:r>
        <w:rPr>
          <w:rFonts w:ascii="Arial Narrow" w:hAnsi="Arial Narrow"/>
          <w:i/>
          <w:sz w:val="24"/>
          <w:szCs w:val="24"/>
        </w:rPr>
        <w:t>i</w:t>
      </w:r>
      <w:r w:rsidRPr="00C22F21">
        <w:rPr>
          <w:rFonts w:ascii="Arial Narrow" w:hAnsi="Arial Narrow"/>
          <w:i/>
          <w:sz w:val="24"/>
          <w:szCs w:val="24"/>
        </w:rPr>
        <w:t>nfluence mapping</w:t>
      </w:r>
      <w:r w:rsidRPr="00C22F21">
        <w:rPr>
          <w:rFonts w:ascii="Arial Narrow" w:hAnsi="Arial Narrow"/>
          <w:sz w:val="24"/>
          <w:szCs w:val="24"/>
        </w:rPr>
        <w:t xml:space="preserve"> </w:t>
      </w:r>
      <w:r>
        <w:rPr>
          <w:rFonts w:ascii="Arial Narrow" w:hAnsi="Arial Narrow"/>
          <w:sz w:val="24"/>
          <w:szCs w:val="24"/>
        </w:rPr>
        <w:t xml:space="preserve">tool to help cities determine their priority energy system transformation strategies based on the </w:t>
      </w:r>
      <w:r w:rsidRPr="00C22F21">
        <w:rPr>
          <w:rFonts w:ascii="Arial Narrow" w:hAnsi="Arial Narrow"/>
          <w:sz w:val="24"/>
          <w:szCs w:val="24"/>
        </w:rPr>
        <w:t xml:space="preserve">level of control or influence they have over each of the key </w:t>
      </w:r>
      <w:r w:rsidR="008D48FE">
        <w:rPr>
          <w:rFonts w:ascii="Arial Narrow" w:hAnsi="Arial Narrow"/>
          <w:sz w:val="24"/>
          <w:szCs w:val="24"/>
        </w:rPr>
        <w:t xml:space="preserve">urban </w:t>
      </w:r>
      <w:r w:rsidRPr="00C22F21">
        <w:rPr>
          <w:rFonts w:ascii="Arial Narrow" w:hAnsi="Arial Narrow"/>
          <w:sz w:val="24"/>
          <w:szCs w:val="24"/>
        </w:rPr>
        <w:t>system components.</w:t>
      </w:r>
      <w:r>
        <w:rPr>
          <w:rFonts w:ascii="Arial Narrow" w:hAnsi="Arial Narrow"/>
          <w:sz w:val="24"/>
          <w:szCs w:val="24"/>
        </w:rPr>
        <w:t xml:space="preserve"> </w:t>
      </w:r>
      <w:r w:rsidRPr="00287BCF">
        <w:rPr>
          <w:rFonts w:ascii="Arial Narrow" w:hAnsi="Arial Narrow"/>
          <w:sz w:val="24"/>
          <w:szCs w:val="24"/>
        </w:rPr>
        <w:t>The extent of a municipal government’s influence can be determined by placing it into one of three broad categories:</w:t>
      </w:r>
    </w:p>
    <w:p w14:paraId="2E1C3A68" w14:textId="77777777" w:rsidR="001D7220" w:rsidRPr="00C22F21" w:rsidRDefault="001D7220" w:rsidP="001D7220">
      <w:pPr>
        <w:pStyle w:val="ListParagraph"/>
        <w:numPr>
          <w:ilvl w:val="0"/>
          <w:numId w:val="24"/>
        </w:numPr>
        <w:spacing w:line="276" w:lineRule="auto"/>
        <w:jc w:val="both"/>
        <w:rPr>
          <w:rFonts w:ascii="Arial Narrow" w:hAnsi="Arial Narrow"/>
          <w:sz w:val="24"/>
          <w:szCs w:val="24"/>
        </w:rPr>
      </w:pPr>
      <w:r w:rsidRPr="00C22F21">
        <w:rPr>
          <w:rFonts w:ascii="Arial Narrow" w:hAnsi="Arial Narrow"/>
          <w:b/>
          <w:sz w:val="24"/>
          <w:szCs w:val="24"/>
        </w:rPr>
        <w:t>Control:</w:t>
      </w:r>
      <w:r w:rsidRPr="00C22F21">
        <w:rPr>
          <w:rFonts w:ascii="Arial Narrow" w:hAnsi="Arial Narrow"/>
          <w:sz w:val="24"/>
          <w:szCs w:val="24"/>
        </w:rPr>
        <w:t xml:space="preserve"> Where a city has near-complete or full decision-making authority over components of the urban system or issue in question. </w:t>
      </w:r>
    </w:p>
    <w:p w14:paraId="0BF983A6" w14:textId="77777777" w:rsidR="001D7220" w:rsidRPr="00C22F21" w:rsidRDefault="001D7220" w:rsidP="001D7220">
      <w:pPr>
        <w:pStyle w:val="ListParagraph"/>
        <w:numPr>
          <w:ilvl w:val="0"/>
          <w:numId w:val="24"/>
        </w:numPr>
        <w:spacing w:line="276" w:lineRule="auto"/>
        <w:jc w:val="both"/>
        <w:rPr>
          <w:rFonts w:ascii="Arial Narrow" w:hAnsi="Arial Narrow"/>
          <w:sz w:val="24"/>
          <w:szCs w:val="24"/>
        </w:rPr>
      </w:pPr>
      <w:r w:rsidRPr="00C22F21">
        <w:rPr>
          <w:rFonts w:ascii="Arial Narrow" w:hAnsi="Arial Narrow"/>
          <w:b/>
          <w:sz w:val="24"/>
          <w:szCs w:val="24"/>
        </w:rPr>
        <w:t>Influence:</w:t>
      </w:r>
      <w:r w:rsidRPr="00C22F21">
        <w:rPr>
          <w:rFonts w:ascii="Arial Narrow" w:hAnsi="Arial Narrow"/>
          <w:sz w:val="24"/>
          <w:szCs w:val="24"/>
        </w:rPr>
        <w:t xml:space="preserve"> Where a city has no decision-making authority, but has access to resources and forums that can be used to influence decision-making by market actors or other levels of government.</w:t>
      </w:r>
    </w:p>
    <w:p w14:paraId="7E3C1EF0" w14:textId="77777777" w:rsidR="001D7220" w:rsidRPr="00C22F21" w:rsidRDefault="001D7220" w:rsidP="001D7220">
      <w:pPr>
        <w:pStyle w:val="ListParagraph"/>
        <w:numPr>
          <w:ilvl w:val="0"/>
          <w:numId w:val="24"/>
        </w:numPr>
        <w:spacing w:line="276" w:lineRule="auto"/>
        <w:jc w:val="both"/>
        <w:rPr>
          <w:rFonts w:ascii="Arial Narrow" w:hAnsi="Arial Narrow"/>
          <w:sz w:val="24"/>
          <w:szCs w:val="24"/>
        </w:rPr>
      </w:pPr>
      <w:r w:rsidRPr="00C22F21">
        <w:rPr>
          <w:rFonts w:ascii="Arial Narrow" w:hAnsi="Arial Narrow"/>
          <w:b/>
          <w:sz w:val="24"/>
          <w:szCs w:val="24"/>
        </w:rPr>
        <w:t xml:space="preserve">Interest: </w:t>
      </w:r>
      <w:r w:rsidRPr="00C22F21">
        <w:rPr>
          <w:rFonts w:ascii="Arial Narrow" w:hAnsi="Arial Narrow"/>
          <w:sz w:val="24"/>
          <w:szCs w:val="24"/>
        </w:rPr>
        <w:t>Where a city has neither control nor direct influence over components of the urban system, but is interested in and possibly affected by the outcomes of decisions made by other actors.</w:t>
      </w:r>
    </w:p>
    <w:p w14:paraId="637BE0C2" w14:textId="5E37656B" w:rsidR="001D7220" w:rsidRDefault="001D7220" w:rsidP="001D7220">
      <w:pPr>
        <w:jc w:val="both"/>
        <w:rPr>
          <w:rFonts w:ascii="Arial Narrow" w:hAnsi="Arial Narrow"/>
          <w:sz w:val="24"/>
          <w:szCs w:val="24"/>
        </w:rPr>
      </w:pPr>
      <w:r>
        <w:rPr>
          <w:rFonts w:ascii="Arial Narrow" w:hAnsi="Arial Narrow"/>
          <w:sz w:val="24"/>
          <w:szCs w:val="24"/>
        </w:rPr>
        <w:t xml:space="preserve">Minneapolis </w:t>
      </w:r>
      <w:r w:rsidR="00633891">
        <w:rPr>
          <w:rFonts w:ascii="Arial Narrow" w:hAnsi="Arial Narrow"/>
          <w:sz w:val="24"/>
          <w:szCs w:val="24"/>
        </w:rPr>
        <w:t xml:space="preserve">has moderate influence over its energy supply, through an agreement with its utilities, but is limited in its ability to transform buildings because the building code is regulated by the state government. As such, it </w:t>
      </w:r>
      <w:r>
        <w:rPr>
          <w:rFonts w:ascii="Arial Narrow" w:hAnsi="Arial Narrow"/>
          <w:sz w:val="24"/>
          <w:szCs w:val="24"/>
        </w:rPr>
        <w:t xml:space="preserve">has a </w:t>
      </w:r>
      <w:r w:rsidR="00633891">
        <w:rPr>
          <w:rFonts w:ascii="Arial Narrow" w:hAnsi="Arial Narrow"/>
          <w:sz w:val="24"/>
          <w:szCs w:val="24"/>
        </w:rPr>
        <w:t xml:space="preserve">limited </w:t>
      </w:r>
      <w:r>
        <w:rPr>
          <w:rFonts w:ascii="Arial Narrow" w:hAnsi="Arial Narrow"/>
          <w:sz w:val="24"/>
          <w:szCs w:val="24"/>
        </w:rPr>
        <w:t xml:space="preserve">level of control over </w:t>
      </w:r>
      <w:r w:rsidR="00633891">
        <w:rPr>
          <w:rFonts w:ascii="Arial Narrow" w:hAnsi="Arial Narrow"/>
          <w:sz w:val="24"/>
          <w:szCs w:val="24"/>
        </w:rPr>
        <w:t xml:space="preserve">energy system transformation </w:t>
      </w:r>
      <w:r>
        <w:rPr>
          <w:rFonts w:ascii="Arial Narrow" w:hAnsi="Arial Narrow"/>
          <w:sz w:val="24"/>
          <w:szCs w:val="24"/>
        </w:rPr>
        <w:t xml:space="preserve">relative to </w:t>
      </w:r>
      <w:r w:rsidR="00633891">
        <w:rPr>
          <w:rFonts w:ascii="Arial Narrow" w:hAnsi="Arial Narrow"/>
          <w:sz w:val="24"/>
          <w:szCs w:val="24"/>
        </w:rPr>
        <w:t xml:space="preserve">the </w:t>
      </w:r>
      <w:r>
        <w:rPr>
          <w:rFonts w:ascii="Arial Narrow" w:hAnsi="Arial Narrow"/>
          <w:sz w:val="24"/>
          <w:szCs w:val="24"/>
        </w:rPr>
        <w:t>other cities</w:t>
      </w:r>
      <w:r w:rsidR="00633891">
        <w:rPr>
          <w:rFonts w:ascii="Arial Narrow" w:hAnsi="Arial Narrow"/>
          <w:sz w:val="24"/>
          <w:szCs w:val="24"/>
        </w:rPr>
        <w:t xml:space="preserve"> analyzed during this exercise (Boulder, CO and Seattle, WA)</w:t>
      </w:r>
      <w:r>
        <w:rPr>
          <w:rFonts w:ascii="Arial Narrow" w:hAnsi="Arial Narrow"/>
          <w:sz w:val="24"/>
          <w:szCs w:val="24"/>
        </w:rPr>
        <w:t xml:space="preserve">. </w:t>
      </w:r>
      <w:r>
        <w:rPr>
          <w:rFonts w:ascii="Arial Narrow" w:hAnsi="Arial Narrow"/>
          <w:sz w:val="24"/>
          <w:szCs w:val="24"/>
        </w:rPr>
        <w:fldChar w:fldCharType="begin"/>
      </w:r>
      <w:r>
        <w:rPr>
          <w:rFonts w:ascii="Arial Narrow" w:hAnsi="Arial Narrow"/>
          <w:sz w:val="24"/>
          <w:szCs w:val="24"/>
        </w:rPr>
        <w:instrText xml:space="preserve"> REF _Ref459816795 \h  \* MERGEFORMAT </w:instrText>
      </w:r>
      <w:r>
        <w:rPr>
          <w:rFonts w:ascii="Arial Narrow" w:hAnsi="Arial Narrow"/>
          <w:sz w:val="24"/>
          <w:szCs w:val="24"/>
        </w:rPr>
      </w:r>
      <w:r>
        <w:rPr>
          <w:rFonts w:ascii="Arial Narrow" w:hAnsi="Arial Narrow"/>
          <w:sz w:val="24"/>
          <w:szCs w:val="24"/>
        </w:rPr>
        <w:fldChar w:fldCharType="separate"/>
      </w:r>
      <w:r w:rsidR="00394D4A" w:rsidRPr="00394D4A">
        <w:rPr>
          <w:rFonts w:ascii="Arial Narrow" w:hAnsi="Arial Narrow"/>
          <w:sz w:val="24"/>
          <w:szCs w:val="24"/>
        </w:rPr>
        <w:t xml:space="preserve">Figure </w:t>
      </w:r>
      <w:r w:rsidR="00394D4A" w:rsidRPr="00394D4A">
        <w:rPr>
          <w:rFonts w:ascii="Arial Narrow" w:hAnsi="Arial Narrow"/>
          <w:sz w:val="24"/>
          <w:szCs w:val="24"/>
        </w:rPr>
        <w:t>2</w:t>
      </w:r>
      <w:r>
        <w:rPr>
          <w:rFonts w:ascii="Arial Narrow" w:hAnsi="Arial Narrow"/>
          <w:sz w:val="24"/>
          <w:szCs w:val="24"/>
        </w:rPr>
        <w:fldChar w:fldCharType="end"/>
      </w:r>
      <w:r>
        <w:rPr>
          <w:rFonts w:ascii="Arial Narrow" w:hAnsi="Arial Narrow"/>
          <w:sz w:val="24"/>
          <w:szCs w:val="24"/>
        </w:rPr>
        <w:t xml:space="preserve"> </w:t>
      </w:r>
      <w:r w:rsidR="00F645A9">
        <w:rPr>
          <w:rFonts w:ascii="Arial Narrow" w:hAnsi="Arial Narrow"/>
          <w:sz w:val="24"/>
          <w:szCs w:val="24"/>
        </w:rPr>
        <w:t xml:space="preserve">on the next page </w:t>
      </w:r>
      <w:r w:rsidR="00A05709">
        <w:rPr>
          <w:rFonts w:ascii="Arial Narrow" w:hAnsi="Arial Narrow"/>
          <w:sz w:val="24"/>
          <w:szCs w:val="24"/>
        </w:rPr>
        <w:t xml:space="preserve">indicates </w:t>
      </w:r>
      <w:r w:rsidR="00142BD9">
        <w:rPr>
          <w:rFonts w:ascii="Arial Narrow" w:hAnsi="Arial Narrow"/>
          <w:sz w:val="24"/>
          <w:szCs w:val="24"/>
        </w:rPr>
        <w:t>the City</w:t>
      </w:r>
      <w:r>
        <w:rPr>
          <w:rFonts w:ascii="Arial Narrow" w:hAnsi="Arial Narrow"/>
          <w:sz w:val="24"/>
          <w:szCs w:val="24"/>
        </w:rPr>
        <w:t xml:space="preserve">’s level of control over each </w:t>
      </w:r>
      <w:r w:rsidR="00A05709">
        <w:rPr>
          <w:rFonts w:ascii="Arial Narrow" w:hAnsi="Arial Narrow"/>
          <w:sz w:val="24"/>
          <w:szCs w:val="24"/>
        </w:rPr>
        <w:t xml:space="preserve">component of each </w:t>
      </w:r>
      <w:r>
        <w:rPr>
          <w:rFonts w:ascii="Arial Narrow" w:hAnsi="Arial Narrow"/>
          <w:sz w:val="24"/>
          <w:szCs w:val="24"/>
        </w:rPr>
        <w:t xml:space="preserve">urban system </w:t>
      </w:r>
      <w:r w:rsidR="005D33B1">
        <w:rPr>
          <w:rFonts w:ascii="Arial Narrow" w:hAnsi="Arial Narrow"/>
          <w:sz w:val="24"/>
          <w:szCs w:val="24"/>
        </w:rPr>
        <w:t>designated by the cells with orange borders</w:t>
      </w:r>
      <w:r w:rsidR="00A05709">
        <w:rPr>
          <w:rFonts w:ascii="Arial Narrow" w:hAnsi="Arial Narrow"/>
          <w:sz w:val="24"/>
          <w:szCs w:val="24"/>
        </w:rPr>
        <w:t xml:space="preserve">. </w:t>
      </w:r>
      <w:r w:rsidR="00654332">
        <w:rPr>
          <w:rFonts w:ascii="Arial Narrow" w:hAnsi="Arial Narrow"/>
          <w:sz w:val="24"/>
          <w:szCs w:val="24"/>
        </w:rPr>
        <w:t xml:space="preserve">For each urban system component, </w:t>
      </w:r>
      <w:r w:rsidR="00D84731">
        <w:rPr>
          <w:rFonts w:ascii="Arial Narrow" w:hAnsi="Arial Narrow"/>
          <w:sz w:val="24"/>
          <w:szCs w:val="24"/>
        </w:rPr>
        <w:t>Minneapolis</w:t>
      </w:r>
      <w:r w:rsidR="00654332">
        <w:rPr>
          <w:rFonts w:ascii="Arial Narrow" w:hAnsi="Arial Narrow"/>
          <w:sz w:val="24"/>
          <w:szCs w:val="24"/>
        </w:rPr>
        <w:t xml:space="preserve"> </w:t>
      </w:r>
      <w:r w:rsidR="00940830" w:rsidRPr="00940830">
        <w:rPr>
          <w:rFonts w:ascii="Arial Narrow" w:hAnsi="Arial Narrow"/>
          <w:sz w:val="24"/>
          <w:szCs w:val="24"/>
        </w:rPr>
        <w:t>can take action on the decarbonization priorities listed in the box with orange borders</w:t>
      </w:r>
      <w:r w:rsidR="00654332">
        <w:rPr>
          <w:rFonts w:ascii="Arial Narrow" w:hAnsi="Arial Narrow"/>
          <w:sz w:val="24"/>
          <w:szCs w:val="24"/>
        </w:rPr>
        <w:t xml:space="preserve">, as well as the cells in the same row to the left of the box. </w:t>
      </w:r>
      <w:r w:rsidR="00A05709">
        <w:rPr>
          <w:rFonts w:ascii="Arial Narrow" w:hAnsi="Arial Narrow"/>
          <w:sz w:val="24"/>
          <w:szCs w:val="24"/>
        </w:rPr>
        <w:t xml:space="preserve">This </w:t>
      </w:r>
      <w:r w:rsidR="00654332">
        <w:rPr>
          <w:rFonts w:ascii="Arial Narrow" w:hAnsi="Arial Narrow"/>
          <w:sz w:val="24"/>
          <w:szCs w:val="24"/>
        </w:rPr>
        <w:t xml:space="preserve">tool thus </w:t>
      </w:r>
      <w:r w:rsidR="00A05709">
        <w:rPr>
          <w:rFonts w:ascii="Arial Narrow" w:hAnsi="Arial Narrow"/>
          <w:sz w:val="24"/>
          <w:szCs w:val="24"/>
        </w:rPr>
        <w:t>provides</w:t>
      </w:r>
      <w:r>
        <w:rPr>
          <w:rFonts w:ascii="Arial Narrow" w:hAnsi="Arial Narrow"/>
          <w:sz w:val="24"/>
          <w:szCs w:val="24"/>
        </w:rPr>
        <w:t xml:space="preserve"> insight on what the City </w:t>
      </w:r>
      <w:r w:rsidR="00654332">
        <w:rPr>
          <w:rFonts w:ascii="Arial Narrow" w:hAnsi="Arial Narrow"/>
          <w:sz w:val="24"/>
          <w:szCs w:val="24"/>
        </w:rPr>
        <w:t xml:space="preserve">can and </w:t>
      </w:r>
      <w:r>
        <w:rPr>
          <w:rFonts w:ascii="Arial Narrow" w:hAnsi="Arial Narrow"/>
          <w:sz w:val="24"/>
          <w:szCs w:val="24"/>
        </w:rPr>
        <w:t xml:space="preserve">should prioritize to progress the energy system transformation </w:t>
      </w:r>
      <w:r w:rsidR="00654332">
        <w:rPr>
          <w:rFonts w:ascii="Arial Narrow" w:hAnsi="Arial Narrow"/>
          <w:sz w:val="24"/>
          <w:szCs w:val="24"/>
        </w:rPr>
        <w:t>for each urban system component</w:t>
      </w:r>
      <w:r w:rsidR="00FD1859">
        <w:rPr>
          <w:rFonts w:ascii="Arial Narrow" w:hAnsi="Arial Narrow"/>
          <w:sz w:val="24"/>
          <w:szCs w:val="24"/>
        </w:rPr>
        <w:t>.</w:t>
      </w:r>
      <w:r w:rsidR="00654332">
        <w:rPr>
          <w:rFonts w:ascii="Arial Narrow" w:hAnsi="Arial Narrow"/>
          <w:sz w:val="24"/>
          <w:szCs w:val="24"/>
        </w:rPr>
        <w:t xml:space="preserve"> </w:t>
      </w:r>
      <w:r w:rsidR="00FD1859">
        <w:rPr>
          <w:rFonts w:ascii="Arial Narrow" w:hAnsi="Arial Narrow"/>
          <w:sz w:val="24"/>
          <w:szCs w:val="24"/>
        </w:rPr>
        <w:t xml:space="preserve">It </w:t>
      </w:r>
      <w:r w:rsidR="00654332">
        <w:rPr>
          <w:rFonts w:ascii="Arial Narrow" w:hAnsi="Arial Narrow"/>
          <w:sz w:val="24"/>
          <w:szCs w:val="24"/>
        </w:rPr>
        <w:t xml:space="preserve">was used to inform </w:t>
      </w:r>
      <w:r>
        <w:rPr>
          <w:rFonts w:ascii="Arial Narrow" w:hAnsi="Arial Narrow"/>
          <w:sz w:val="24"/>
          <w:szCs w:val="24"/>
        </w:rPr>
        <w:t xml:space="preserve">the priority actions presented in this Strategy. Refer to the Playbook for more information on sphere of influence mapping and the decarbonization phases in </w:t>
      </w:r>
      <w:r>
        <w:rPr>
          <w:rFonts w:ascii="Arial Narrow" w:hAnsi="Arial Narrow"/>
          <w:sz w:val="24"/>
          <w:szCs w:val="24"/>
        </w:rPr>
        <w:fldChar w:fldCharType="begin"/>
      </w:r>
      <w:r>
        <w:rPr>
          <w:rFonts w:ascii="Arial Narrow" w:hAnsi="Arial Narrow"/>
          <w:sz w:val="24"/>
          <w:szCs w:val="24"/>
        </w:rPr>
        <w:instrText xml:space="preserve"> REF _Ref459816795 \h  \* MERGEFORMAT </w:instrText>
      </w:r>
      <w:r>
        <w:rPr>
          <w:rFonts w:ascii="Arial Narrow" w:hAnsi="Arial Narrow"/>
          <w:sz w:val="24"/>
          <w:szCs w:val="24"/>
        </w:rPr>
      </w:r>
      <w:r>
        <w:rPr>
          <w:rFonts w:ascii="Arial Narrow" w:hAnsi="Arial Narrow"/>
          <w:sz w:val="24"/>
          <w:szCs w:val="24"/>
        </w:rPr>
        <w:fldChar w:fldCharType="separate"/>
      </w:r>
      <w:r w:rsidR="00394D4A" w:rsidRPr="00394D4A">
        <w:rPr>
          <w:rFonts w:ascii="Arial Narrow" w:hAnsi="Arial Narrow"/>
          <w:sz w:val="24"/>
          <w:szCs w:val="24"/>
        </w:rPr>
        <w:t xml:space="preserve">Figure </w:t>
      </w:r>
      <w:r w:rsidR="00394D4A" w:rsidRPr="00394D4A">
        <w:rPr>
          <w:rFonts w:ascii="Arial Narrow" w:hAnsi="Arial Narrow"/>
          <w:sz w:val="24"/>
          <w:szCs w:val="24"/>
        </w:rPr>
        <w:t>2</w:t>
      </w:r>
      <w:r>
        <w:rPr>
          <w:rFonts w:ascii="Arial Narrow" w:hAnsi="Arial Narrow"/>
          <w:sz w:val="24"/>
          <w:szCs w:val="24"/>
        </w:rPr>
        <w:fldChar w:fldCharType="end"/>
      </w:r>
      <w:r>
        <w:rPr>
          <w:rFonts w:ascii="Arial Narrow" w:hAnsi="Arial Narrow"/>
          <w:sz w:val="24"/>
          <w:szCs w:val="24"/>
        </w:rPr>
        <w:t xml:space="preserve">. </w:t>
      </w:r>
    </w:p>
    <w:p w14:paraId="1FDB4333" w14:textId="77777777" w:rsidR="00F645A9" w:rsidRPr="00B67C60" w:rsidRDefault="00F645A9" w:rsidP="00F645A9">
      <w:pPr>
        <w:pStyle w:val="Heading2"/>
      </w:pPr>
      <w:bookmarkStart w:id="7" w:name="_Toc460348774"/>
      <w:r>
        <w:t>A Changing Climate</w:t>
      </w:r>
      <w:bookmarkEnd w:id="7"/>
    </w:p>
    <w:p w14:paraId="39ADB107" w14:textId="2A48326D" w:rsidR="00F645A9" w:rsidRDefault="00F645A9" w:rsidP="00F645A9">
      <w:pPr>
        <w:spacing w:line="276" w:lineRule="auto"/>
        <w:jc w:val="both"/>
        <w:rPr>
          <w:rFonts w:ascii="Arial Narrow" w:hAnsi="Arial Narrow"/>
          <w:sz w:val="24"/>
          <w:szCs w:val="24"/>
        </w:rPr>
      </w:pPr>
      <w:r w:rsidRPr="00B67C60">
        <w:rPr>
          <w:rFonts w:ascii="Arial Narrow" w:hAnsi="Arial Narrow"/>
          <w:sz w:val="24"/>
          <w:szCs w:val="24"/>
        </w:rPr>
        <w:t xml:space="preserve">Finally, the climate of Minneapolis may also influence efforts to decarbonize. The city’s climate is characterized by a wide range of temperatures – from an average of 15.6°F in January to 73.8 °F in July. These conditions will require special consideration when approaching building efficiency strategies, given the fluctuations in temperature and consequent building conditioning required. Further, </w:t>
      </w:r>
      <w:r w:rsidR="00FD1859">
        <w:rPr>
          <w:rFonts w:ascii="Arial Narrow" w:hAnsi="Arial Narrow"/>
          <w:sz w:val="24"/>
          <w:szCs w:val="24"/>
        </w:rPr>
        <w:t>g</w:t>
      </w:r>
      <w:r w:rsidR="00FD1859" w:rsidRPr="00B67C60">
        <w:rPr>
          <w:rFonts w:ascii="Arial Narrow" w:hAnsi="Arial Narrow"/>
          <w:sz w:val="24"/>
          <w:szCs w:val="24"/>
        </w:rPr>
        <w:t xml:space="preserve">iven </w:t>
      </w:r>
      <w:r w:rsidRPr="00B67C60">
        <w:rPr>
          <w:rFonts w:ascii="Arial Narrow" w:hAnsi="Arial Narrow"/>
          <w:sz w:val="24"/>
          <w:szCs w:val="24"/>
        </w:rPr>
        <w:t xml:space="preserve">that Minneapolis’ </w:t>
      </w:r>
      <w:r w:rsidR="00FD1859">
        <w:rPr>
          <w:rFonts w:ascii="Arial Narrow" w:hAnsi="Arial Narrow"/>
          <w:sz w:val="24"/>
          <w:szCs w:val="24"/>
        </w:rPr>
        <w:t>annual average temperature</w:t>
      </w:r>
      <w:r w:rsidR="00FD1859" w:rsidRPr="00B67C60">
        <w:rPr>
          <w:rFonts w:ascii="Arial Narrow" w:hAnsi="Arial Narrow"/>
          <w:sz w:val="24"/>
          <w:szCs w:val="24"/>
        </w:rPr>
        <w:t xml:space="preserve"> </w:t>
      </w:r>
      <w:r w:rsidRPr="00B67C60">
        <w:rPr>
          <w:rFonts w:ascii="Arial Narrow" w:hAnsi="Arial Narrow"/>
          <w:sz w:val="24"/>
          <w:szCs w:val="24"/>
        </w:rPr>
        <w:t>is projected to increase between 5.4°F and 7.2°F above the 1970 to 1999 baseline under upper mid-range emissions projections, building conditioning and energy use will be a critical component of carbon reduction strategies. Minneapolis’ urban fabric is also conducive to the Urban Heat Island Effect, with warmer temperatures found in the city relative to surrounding rural zones. This is relevant for energy loads, particularly when considering average nighttime temperatures in both summer and winter are projected to increase more than daytime temperatures</w:t>
      </w:r>
      <w:r w:rsidR="00940830">
        <w:rPr>
          <w:rFonts w:ascii="Arial Narrow" w:hAnsi="Arial Narrow"/>
          <w:sz w:val="24"/>
          <w:szCs w:val="24"/>
        </w:rPr>
        <w:t>.</w:t>
      </w:r>
    </w:p>
    <w:p w14:paraId="145F90FD" w14:textId="77777777" w:rsidR="00940830" w:rsidRDefault="00940830" w:rsidP="00F645A9">
      <w:pPr>
        <w:spacing w:line="276" w:lineRule="auto"/>
        <w:jc w:val="both"/>
        <w:rPr>
          <w:rFonts w:ascii="Arial Narrow" w:hAnsi="Arial Narrow"/>
          <w:sz w:val="24"/>
          <w:szCs w:val="24"/>
        </w:rPr>
        <w:sectPr w:rsidR="00940830" w:rsidSect="00E21B58">
          <w:pgSz w:w="12240" w:h="15840"/>
          <w:pgMar w:top="1440" w:right="1440" w:bottom="1440" w:left="1440" w:header="708" w:footer="708" w:gutter="0"/>
          <w:pgNumType w:start="1"/>
          <w:cols w:space="708"/>
          <w:titlePg/>
          <w:docGrid w:linePitch="360"/>
        </w:sectPr>
      </w:pPr>
    </w:p>
    <w:tbl>
      <w:tblPr>
        <w:tblW w:w="21780" w:type="dxa"/>
        <w:tblBorders>
          <w:top w:val="thinThickThinMediumGap" w:sz="18" w:space="0" w:color="FFFFFF" w:themeColor="background1"/>
          <w:left w:val="thinThickThinMediumGap" w:sz="18" w:space="0" w:color="FFFFFF" w:themeColor="background1"/>
          <w:bottom w:val="thinThickThinMediumGap" w:sz="18" w:space="0" w:color="FFFFFF" w:themeColor="background1"/>
          <w:right w:val="thinThickThinMediumGap" w:sz="18" w:space="0" w:color="FFFFFF" w:themeColor="background1"/>
        </w:tblBorders>
        <w:tblLayout w:type="fixed"/>
        <w:tblCellMar>
          <w:top w:w="57" w:type="dxa"/>
          <w:left w:w="57" w:type="dxa"/>
          <w:bottom w:w="57" w:type="dxa"/>
          <w:right w:w="142" w:type="dxa"/>
        </w:tblCellMar>
        <w:tblLook w:val="0420" w:firstRow="1" w:lastRow="0" w:firstColumn="0" w:lastColumn="0" w:noHBand="0" w:noVBand="1"/>
      </w:tblPr>
      <w:tblGrid>
        <w:gridCol w:w="691"/>
        <w:gridCol w:w="1851"/>
        <w:gridCol w:w="4325"/>
        <w:gridCol w:w="3924"/>
        <w:gridCol w:w="4513"/>
        <w:gridCol w:w="3729"/>
        <w:gridCol w:w="2747"/>
      </w:tblGrid>
      <w:tr w:rsidR="00940830" w:rsidRPr="002F72F9" w14:paraId="05B03A5B" w14:textId="77777777" w:rsidTr="00940830">
        <w:trPr>
          <w:trHeight w:val="177"/>
        </w:trPr>
        <w:tc>
          <w:tcPr>
            <w:tcW w:w="2542" w:type="dxa"/>
            <w:gridSpan w:val="2"/>
            <w:tcBorders>
              <w:right w:val="single" w:sz="12" w:space="0" w:color="auto"/>
            </w:tcBorders>
            <w:shd w:val="clear" w:color="auto" w:fill="FFFFFF"/>
            <w:vAlign w:val="center"/>
          </w:tcPr>
          <w:p w14:paraId="50280E18" w14:textId="77777777" w:rsidR="00940830" w:rsidRPr="00177A82" w:rsidRDefault="00940830" w:rsidP="00940830">
            <w:pPr>
              <w:pStyle w:val="NormalWeb"/>
              <w:jc w:val="right"/>
              <w:rPr>
                <w:rFonts w:ascii="Frutiger LT Std 57 Cn" w:eastAsia="Times New Roman" w:hAnsi="Frutiger LT Std 57 Cn" w:cs="Arial"/>
                <w:sz w:val="22"/>
                <w:szCs w:val="36"/>
                <w:vertAlign w:val="subscript"/>
              </w:rPr>
            </w:pPr>
            <w:r w:rsidRPr="00177A82">
              <w:rPr>
                <w:rFonts w:ascii="Frutiger LT Std 87 ExtraBlk Cn" w:hAnsi="Frutiger LT Std 87 ExtraBlk Cn"/>
                <w:b/>
                <w:bCs/>
                <w:kern w:val="24"/>
                <w:sz w:val="22"/>
                <w:lang w:val="en-US"/>
              </w:rPr>
              <w:t xml:space="preserve">Energy System </w:t>
            </w:r>
            <w:r w:rsidRPr="00177A82">
              <w:rPr>
                <w:rFonts w:ascii="Frutiger LT Std 87 ExtraBlk Cn" w:hAnsi="Frutiger LT Std 87 ExtraBlk Cn" w:cstheme="minorBidi"/>
                <w:b/>
                <w:bCs/>
                <w:kern w:val="24"/>
                <w:sz w:val="22"/>
                <w:szCs w:val="22"/>
                <w:lang w:val="en-US"/>
              </w:rPr>
              <w:t>Transformation</w:t>
            </w:r>
            <w:r w:rsidRPr="00177A82">
              <w:rPr>
                <w:rFonts w:ascii="Frutiger LT Std 87 ExtraBlk Cn" w:hAnsi="Frutiger LT Std 87 ExtraBlk Cn"/>
                <w:b/>
                <w:bCs/>
                <w:kern w:val="24"/>
                <w:sz w:val="22"/>
                <w:lang w:val="en-US"/>
              </w:rPr>
              <w:t xml:space="preserve"> Phases</w:t>
            </w:r>
          </w:p>
        </w:tc>
        <w:tc>
          <w:tcPr>
            <w:tcW w:w="8249" w:type="dxa"/>
            <w:gridSpan w:val="2"/>
            <w:tcBorders>
              <w:top w:val="single" w:sz="12" w:space="0" w:color="auto"/>
              <w:left w:val="single" w:sz="12" w:space="0" w:color="auto"/>
              <w:bottom w:val="single" w:sz="12" w:space="0" w:color="auto"/>
              <w:right w:val="single" w:sz="12" w:space="0" w:color="auto"/>
            </w:tcBorders>
            <w:shd w:val="clear" w:color="auto" w:fill="FFFFFF" w:themeFill="background1"/>
            <w:tcMar>
              <w:top w:w="72" w:type="dxa"/>
              <w:left w:w="144" w:type="dxa"/>
              <w:bottom w:w="72" w:type="dxa"/>
              <w:right w:w="144" w:type="dxa"/>
            </w:tcMar>
            <w:vAlign w:val="center"/>
          </w:tcPr>
          <w:p w14:paraId="2BB17BE5" w14:textId="77777777" w:rsidR="00940830" w:rsidRDefault="00940830" w:rsidP="00635DE7">
            <w:pPr>
              <w:spacing w:after="0" w:line="240" w:lineRule="auto"/>
              <w:rPr>
                <w:rFonts w:ascii="Frutiger LT Std 87 ExtraBlk Cn" w:eastAsia="Times New Roman" w:hAnsi="Frutiger LT Std 87 ExtraBlk Cn" w:cs="Arial"/>
                <w:b/>
                <w:bCs/>
                <w:color w:val="FFFFFF"/>
                <w:kern w:val="24"/>
                <w:sz w:val="2"/>
                <w:lang w:val="en-US" w:eastAsia="en-CA"/>
              </w:rPr>
            </w:pPr>
          </w:p>
          <w:p w14:paraId="52EADD7A" w14:textId="77777777" w:rsidR="00940830" w:rsidRPr="003E62C8" w:rsidRDefault="00940830" w:rsidP="00635DE7">
            <w:pPr>
              <w:pStyle w:val="NormalWeb"/>
              <w:spacing w:before="0" w:beforeAutospacing="0" w:after="0" w:afterAutospacing="0"/>
              <w:jc w:val="center"/>
              <w:rPr>
                <w:rFonts w:ascii="Frutiger LT Std 87 ExtraBlk Cn" w:eastAsia="Times New Roman" w:hAnsi="Frutiger LT Std 87 ExtraBlk Cn" w:cs="Arial"/>
                <w:b/>
                <w:bCs/>
                <w:color w:val="FFFFFF"/>
                <w:kern w:val="24"/>
                <w:sz w:val="2"/>
                <w:lang w:val="en-US"/>
              </w:rPr>
            </w:pPr>
            <w:r w:rsidRPr="00B057DD">
              <w:rPr>
                <w:rFonts w:ascii="Frutiger LT Std 87 ExtraBlk Cn" w:hAnsi="Frutiger LT Std 87 ExtraBlk Cn" w:cstheme="minorBidi"/>
                <w:b/>
                <w:bCs/>
                <w:kern w:val="24"/>
                <w:sz w:val="22"/>
                <w:szCs w:val="22"/>
                <w:lang w:val="en-US"/>
              </w:rPr>
              <w:t>Working without Control:</w:t>
            </w:r>
            <w:r>
              <w:rPr>
                <w:rFonts w:ascii="Frutiger LT Std 87 ExtraBlk Cn" w:hAnsi="Frutiger LT Std 87 ExtraBlk Cn" w:cstheme="minorBidi"/>
                <w:b/>
                <w:bCs/>
                <w:kern w:val="24"/>
                <w:sz w:val="22"/>
                <w:szCs w:val="22"/>
                <w:lang w:val="en-US"/>
              </w:rPr>
              <w:br/>
            </w:r>
            <w:r w:rsidRPr="00B057DD">
              <w:rPr>
                <w:rFonts w:ascii="Frutiger LT Std 57 Cn" w:hAnsi="Frutiger LT Std 57 Cn" w:cstheme="minorBidi"/>
                <w:bCs/>
                <w:kern w:val="24"/>
                <w:sz w:val="20"/>
                <w:szCs w:val="22"/>
                <w:lang w:val="en-US"/>
              </w:rPr>
              <w:t>Act where possible + Acquire more control where feasible</w:t>
            </w:r>
            <w:r>
              <w:rPr>
                <w:rFonts w:ascii="Frutiger LT Std 57 Cn" w:hAnsi="Frutiger LT Std 57 Cn" w:cstheme="minorBidi"/>
                <w:bCs/>
                <w:kern w:val="24"/>
                <w:sz w:val="20"/>
                <w:szCs w:val="22"/>
                <w:lang w:val="en-US"/>
              </w:rPr>
              <w:t xml:space="preserve"> </w:t>
            </w:r>
            <w:r w:rsidRPr="00B057DD">
              <w:rPr>
                <w:rFonts w:ascii="Frutiger LT Std 57 Cn" w:hAnsi="Frutiger LT Std 57 Cn" w:cstheme="minorBidi"/>
                <w:bCs/>
                <w:kern w:val="24"/>
                <w:sz w:val="20"/>
                <w:szCs w:val="22"/>
                <w:lang w:val="en-US"/>
              </w:rPr>
              <w:t xml:space="preserve">+ Lobby for </w:t>
            </w:r>
            <w:r>
              <w:rPr>
                <w:rFonts w:ascii="Frutiger LT Std 57 Cn" w:hAnsi="Frutiger LT Std 57 Cn" w:cstheme="minorBidi"/>
                <w:bCs/>
                <w:kern w:val="24"/>
                <w:sz w:val="20"/>
                <w:szCs w:val="22"/>
                <w:lang w:val="en-US"/>
              </w:rPr>
              <w:t xml:space="preserve">Implementation of </w:t>
            </w:r>
            <w:r w:rsidRPr="00B057DD">
              <w:rPr>
                <w:rFonts w:ascii="Frutiger LT Std 57 Cn" w:hAnsi="Frutiger LT Std 57 Cn" w:cstheme="minorBidi"/>
                <w:bCs/>
                <w:kern w:val="24"/>
                <w:sz w:val="20"/>
                <w:szCs w:val="22"/>
                <w:lang w:val="en-US"/>
              </w:rPr>
              <w:t>Phases 1-3</w:t>
            </w:r>
          </w:p>
        </w:tc>
        <w:tc>
          <w:tcPr>
            <w:tcW w:w="4513" w:type="dxa"/>
            <w:tcBorders>
              <w:top w:val="single" w:sz="12" w:space="0" w:color="auto"/>
              <w:left w:val="single" w:sz="12" w:space="0" w:color="auto"/>
              <w:bottom w:val="single" w:sz="12" w:space="0" w:color="auto"/>
              <w:right w:val="single" w:sz="12" w:space="0" w:color="auto"/>
            </w:tcBorders>
            <w:shd w:val="clear" w:color="auto" w:fill="FFFFFF" w:themeFill="background1"/>
            <w:tcMar>
              <w:top w:w="72" w:type="dxa"/>
              <w:left w:w="144" w:type="dxa"/>
              <w:bottom w:w="72" w:type="dxa"/>
              <w:right w:w="144" w:type="dxa"/>
            </w:tcMar>
            <w:vAlign w:val="center"/>
          </w:tcPr>
          <w:p w14:paraId="173F70A2" w14:textId="77777777" w:rsidR="00940830" w:rsidRPr="003E62C8" w:rsidRDefault="00940830" w:rsidP="00635DE7">
            <w:pPr>
              <w:spacing w:after="0" w:line="240" w:lineRule="auto"/>
              <w:jc w:val="center"/>
              <w:rPr>
                <w:rFonts w:ascii="Frutiger LT Std 87 ExtraBlk Cn" w:eastAsia="Times New Roman" w:hAnsi="Frutiger LT Std 87 ExtraBlk Cn" w:cs="Arial"/>
                <w:b/>
                <w:bCs/>
                <w:noProof/>
                <w:color w:val="FFFFFF"/>
                <w:kern w:val="24"/>
                <w:sz w:val="2"/>
                <w:lang w:eastAsia="en-CA"/>
              </w:rPr>
            </w:pPr>
            <w:r w:rsidRPr="00B057DD">
              <w:rPr>
                <w:rFonts w:ascii="Frutiger LT Std 87 ExtraBlk Cn" w:hAnsi="Frutiger LT Std 87 ExtraBlk Cn"/>
                <w:b/>
                <w:bCs/>
                <w:kern w:val="24"/>
                <w:lang w:val="en-US"/>
              </w:rPr>
              <w:t>Phase 1:</w:t>
            </w:r>
            <w:r w:rsidRPr="00B057DD">
              <w:rPr>
                <w:rFonts w:hAnsi="Calibri"/>
                <w:b/>
                <w:bCs/>
                <w:kern w:val="24"/>
                <w:lang w:val="en-US"/>
              </w:rPr>
              <w:t xml:space="preserve"> </w:t>
            </w:r>
            <w:r w:rsidRPr="00B057DD">
              <w:rPr>
                <w:rFonts w:hAnsi="Calibri"/>
                <w:b/>
                <w:bCs/>
                <w:kern w:val="24"/>
                <w:lang w:val="en-US"/>
              </w:rPr>
              <w:br/>
            </w:r>
            <w:r w:rsidRPr="00B057DD">
              <w:rPr>
                <w:rFonts w:ascii="Frutiger LT Std 57 Cn" w:hAnsi="Frutiger LT Std 57 Cn"/>
                <w:bCs/>
                <w:kern w:val="24"/>
                <w:sz w:val="20"/>
                <w:lang w:val="en-US"/>
              </w:rPr>
              <w:t>Initiate Energy System Transformation</w:t>
            </w:r>
          </w:p>
        </w:tc>
        <w:tc>
          <w:tcPr>
            <w:tcW w:w="3729" w:type="dxa"/>
            <w:tcBorders>
              <w:top w:val="single" w:sz="12" w:space="0" w:color="auto"/>
              <w:left w:val="single" w:sz="12" w:space="0" w:color="auto"/>
              <w:bottom w:val="single" w:sz="12" w:space="0" w:color="auto"/>
              <w:right w:val="single" w:sz="12" w:space="0" w:color="auto"/>
            </w:tcBorders>
            <w:shd w:val="clear" w:color="auto" w:fill="FFFFFF" w:themeFill="background1"/>
            <w:tcMar>
              <w:top w:w="72" w:type="dxa"/>
              <w:left w:w="144" w:type="dxa"/>
              <w:bottom w:w="72" w:type="dxa"/>
              <w:right w:w="144" w:type="dxa"/>
            </w:tcMar>
            <w:vAlign w:val="center"/>
          </w:tcPr>
          <w:p w14:paraId="77D0AC1F" w14:textId="77777777" w:rsidR="00940830" w:rsidRPr="003E62C8" w:rsidRDefault="00940830" w:rsidP="00635DE7">
            <w:pPr>
              <w:spacing w:after="0" w:line="240" w:lineRule="auto"/>
              <w:jc w:val="center"/>
              <w:rPr>
                <w:rFonts w:ascii="Frutiger LT Std 87 ExtraBlk Cn" w:eastAsia="Times New Roman" w:hAnsi="Frutiger LT Std 87 ExtraBlk Cn" w:cs="Arial"/>
                <w:b/>
                <w:bCs/>
                <w:noProof/>
                <w:color w:val="FFFFFF"/>
                <w:kern w:val="24"/>
                <w:sz w:val="2"/>
                <w:lang w:eastAsia="en-CA"/>
              </w:rPr>
            </w:pPr>
            <w:r w:rsidRPr="00B057DD">
              <w:rPr>
                <w:rFonts w:ascii="Frutiger LT Std 87 ExtraBlk Cn" w:hAnsi="Frutiger LT Std 87 ExtraBlk Cn"/>
                <w:b/>
                <w:bCs/>
                <w:kern w:val="24"/>
                <w:lang w:val="en-US"/>
              </w:rPr>
              <w:t xml:space="preserve">Phase 2: </w:t>
            </w:r>
            <w:r w:rsidRPr="00B057DD">
              <w:rPr>
                <w:rFonts w:hAnsi="Calibri"/>
                <w:b/>
                <w:bCs/>
                <w:kern w:val="24"/>
                <w:lang w:val="en-US"/>
              </w:rPr>
              <w:br/>
            </w:r>
            <w:r w:rsidRPr="00B057DD">
              <w:rPr>
                <w:rFonts w:ascii="Frutiger LT Std 57 Cn" w:hAnsi="Frutiger LT Std 57 Cn"/>
                <w:bCs/>
                <w:kern w:val="24"/>
                <w:sz w:val="20"/>
                <w:lang w:val="en-US"/>
              </w:rPr>
              <w:t>Strategically Decarbonize</w:t>
            </w:r>
          </w:p>
        </w:tc>
        <w:tc>
          <w:tcPr>
            <w:tcW w:w="2747" w:type="dxa"/>
            <w:tcBorders>
              <w:top w:val="single" w:sz="12" w:space="0" w:color="auto"/>
              <w:left w:val="single" w:sz="12" w:space="0" w:color="auto"/>
              <w:bottom w:val="single" w:sz="12" w:space="0" w:color="auto"/>
              <w:right w:val="single" w:sz="12" w:space="0" w:color="auto"/>
            </w:tcBorders>
            <w:shd w:val="clear" w:color="auto" w:fill="FFFFFF" w:themeFill="background1"/>
            <w:tcMar>
              <w:top w:w="72" w:type="dxa"/>
              <w:left w:w="144" w:type="dxa"/>
              <w:bottom w:w="72" w:type="dxa"/>
              <w:right w:w="144" w:type="dxa"/>
            </w:tcMar>
            <w:vAlign w:val="center"/>
          </w:tcPr>
          <w:p w14:paraId="1B682716" w14:textId="77777777" w:rsidR="00940830" w:rsidRPr="003E62C8" w:rsidRDefault="00940830" w:rsidP="00635DE7">
            <w:pPr>
              <w:spacing w:after="0" w:line="240" w:lineRule="auto"/>
              <w:jc w:val="center"/>
              <w:rPr>
                <w:rFonts w:ascii="Frutiger LT Std 57 Cn" w:eastAsia="Times New Roman" w:hAnsi="Frutiger LT Std 57 Cn" w:cs="Arial"/>
                <w:sz w:val="2"/>
                <w:szCs w:val="36"/>
                <w:lang w:eastAsia="en-CA"/>
              </w:rPr>
            </w:pPr>
            <w:r w:rsidRPr="00B057DD">
              <w:rPr>
                <w:rFonts w:ascii="Frutiger LT Std 87 ExtraBlk Cn" w:hAnsi="Frutiger LT Std 87 ExtraBlk Cn"/>
                <w:b/>
                <w:bCs/>
                <w:kern w:val="24"/>
                <w:lang w:val="en-US"/>
              </w:rPr>
              <w:t xml:space="preserve">Phase 3: </w:t>
            </w:r>
            <w:r w:rsidRPr="00B057DD">
              <w:rPr>
                <w:rFonts w:hAnsi="Calibri"/>
                <w:b/>
                <w:bCs/>
                <w:kern w:val="24"/>
                <w:lang w:val="en-US"/>
              </w:rPr>
              <w:br/>
            </w:r>
            <w:r>
              <w:rPr>
                <w:rFonts w:ascii="Frutiger LT Std 57 Cn" w:hAnsi="Frutiger LT Std 57 Cn"/>
                <w:bCs/>
                <w:kern w:val="24"/>
                <w:sz w:val="20"/>
                <w:lang w:val="en-US"/>
              </w:rPr>
              <w:t xml:space="preserve">Zero Emission </w:t>
            </w:r>
            <w:r w:rsidRPr="00B057DD">
              <w:rPr>
                <w:rFonts w:ascii="Frutiger LT Std 57 Cn" w:hAnsi="Frutiger LT Std 57 Cn"/>
                <w:bCs/>
                <w:kern w:val="24"/>
                <w:sz w:val="20"/>
                <w:lang w:val="en-US"/>
              </w:rPr>
              <w:t>Energy System</w:t>
            </w:r>
          </w:p>
        </w:tc>
      </w:tr>
      <w:tr w:rsidR="00940830" w:rsidRPr="002F72F9" w14:paraId="39C32EB6" w14:textId="77777777" w:rsidTr="00940830">
        <w:trPr>
          <w:trHeight w:val="20"/>
        </w:trPr>
        <w:tc>
          <w:tcPr>
            <w:tcW w:w="2542" w:type="dxa"/>
            <w:gridSpan w:val="2"/>
            <w:vMerge w:val="restart"/>
            <w:shd w:val="clear" w:color="auto" w:fill="FFFFFF"/>
            <w:vAlign w:val="center"/>
          </w:tcPr>
          <w:p w14:paraId="54BB73D9" w14:textId="77777777" w:rsidR="00940830" w:rsidRPr="00177A82" w:rsidRDefault="00940830" w:rsidP="00635DE7">
            <w:pPr>
              <w:pStyle w:val="NormalWeb"/>
              <w:spacing w:before="0" w:after="0"/>
              <w:jc w:val="right"/>
              <w:rPr>
                <w:rFonts w:ascii="Frutiger LT Std 57 Cn" w:eastAsia="Times New Roman" w:hAnsi="Frutiger LT Std 57 Cn" w:cs="Arial"/>
                <w:sz w:val="22"/>
                <w:szCs w:val="36"/>
                <w:vertAlign w:val="subscript"/>
              </w:rPr>
            </w:pPr>
            <w:r w:rsidRPr="00177A82">
              <w:rPr>
                <w:rFonts w:ascii="Frutiger LT Std 87 ExtraBlk Cn" w:hAnsi="Frutiger LT Std 87 ExtraBlk Cn" w:cstheme="minorBidi"/>
                <w:b/>
                <w:bCs/>
                <w:kern w:val="24"/>
                <w:sz w:val="22"/>
                <w:szCs w:val="22"/>
                <w:lang w:val="en-US"/>
              </w:rPr>
              <w:t>Level of</w:t>
            </w:r>
            <w:r w:rsidRPr="00177A82">
              <w:rPr>
                <w:rFonts w:ascii="Frutiger LT Std 87 ExtraBlk Cn" w:hAnsi="Frutiger LT Std 87 ExtraBlk Cn" w:cstheme="minorBidi"/>
                <w:b/>
                <w:bCs/>
                <w:kern w:val="24"/>
                <w:sz w:val="22"/>
                <w:szCs w:val="22"/>
                <w:lang w:val="en-US"/>
              </w:rPr>
              <w:br/>
              <w:t>Control</w:t>
            </w:r>
          </w:p>
        </w:tc>
        <w:tc>
          <w:tcPr>
            <w:tcW w:w="4325" w:type="dxa"/>
            <w:tcBorders>
              <w:top w:val="single" w:sz="12" w:space="0" w:color="auto"/>
            </w:tcBorders>
            <w:shd w:val="clear" w:color="auto" w:fill="4393C3"/>
            <w:tcMar>
              <w:top w:w="72" w:type="dxa"/>
              <w:left w:w="144" w:type="dxa"/>
              <w:bottom w:w="72" w:type="dxa"/>
              <w:right w:w="144" w:type="dxa"/>
            </w:tcMar>
            <w:vAlign w:val="center"/>
          </w:tcPr>
          <w:p w14:paraId="36582DEA" w14:textId="77777777" w:rsidR="00940830" w:rsidRPr="003E62C8" w:rsidRDefault="00940830" w:rsidP="00635DE7">
            <w:pPr>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3924" w:type="dxa"/>
            <w:tcBorders>
              <w:top w:val="single" w:sz="12" w:space="0" w:color="auto"/>
            </w:tcBorders>
            <w:shd w:val="clear" w:color="auto" w:fill="4393C3"/>
            <w:tcMar>
              <w:top w:w="72" w:type="dxa"/>
              <w:left w:w="144" w:type="dxa"/>
              <w:bottom w:w="72" w:type="dxa"/>
              <w:right w:w="144" w:type="dxa"/>
            </w:tcMar>
            <w:vAlign w:val="center"/>
          </w:tcPr>
          <w:p w14:paraId="6FE63AEE" w14:textId="77777777" w:rsidR="00940830" w:rsidRPr="003E62C8" w:rsidRDefault="00940830" w:rsidP="00635DE7">
            <w:pPr>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4513" w:type="dxa"/>
            <w:tcBorders>
              <w:top w:val="single" w:sz="12" w:space="0" w:color="auto"/>
            </w:tcBorders>
            <w:shd w:val="clear" w:color="auto" w:fill="4393C3"/>
            <w:tcMar>
              <w:top w:w="72" w:type="dxa"/>
              <w:left w:w="144" w:type="dxa"/>
              <w:bottom w:w="72" w:type="dxa"/>
              <w:right w:w="144" w:type="dxa"/>
            </w:tcMar>
            <w:vAlign w:val="center"/>
          </w:tcPr>
          <w:p w14:paraId="6E6F9CE4" w14:textId="77777777" w:rsidR="00940830" w:rsidRPr="003E62C8" w:rsidRDefault="00940830" w:rsidP="00635DE7">
            <w:pPr>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3729" w:type="dxa"/>
            <w:tcBorders>
              <w:top w:val="single" w:sz="12" w:space="0" w:color="auto"/>
            </w:tcBorders>
            <w:shd w:val="clear" w:color="auto" w:fill="4393C3"/>
            <w:tcMar>
              <w:top w:w="72" w:type="dxa"/>
              <w:left w:w="144" w:type="dxa"/>
              <w:bottom w:w="72" w:type="dxa"/>
              <w:right w:w="144" w:type="dxa"/>
            </w:tcMar>
            <w:vAlign w:val="center"/>
          </w:tcPr>
          <w:p w14:paraId="4AE2CE57" w14:textId="77777777" w:rsidR="00940830" w:rsidRPr="003E62C8" w:rsidRDefault="00940830" w:rsidP="00635DE7">
            <w:pPr>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2747" w:type="dxa"/>
            <w:tcBorders>
              <w:top w:val="single" w:sz="12" w:space="0" w:color="auto"/>
            </w:tcBorders>
            <w:shd w:val="clear" w:color="auto" w:fill="4393C3"/>
            <w:tcMar>
              <w:top w:w="72" w:type="dxa"/>
              <w:left w:w="144" w:type="dxa"/>
              <w:bottom w:w="72" w:type="dxa"/>
              <w:right w:w="144" w:type="dxa"/>
            </w:tcMar>
            <w:vAlign w:val="center"/>
          </w:tcPr>
          <w:p w14:paraId="7A12AEA7" w14:textId="77777777" w:rsidR="00940830" w:rsidRPr="003E62C8" w:rsidRDefault="00940830" w:rsidP="00635DE7">
            <w:pPr>
              <w:spacing w:after="0" w:line="240" w:lineRule="auto"/>
              <w:jc w:val="center"/>
              <w:rPr>
                <w:rFonts w:ascii="Frutiger LT Std 57 Cn" w:eastAsia="Times New Roman" w:hAnsi="Frutiger LT Std 57 Cn" w:cs="Arial"/>
                <w:sz w:val="2"/>
                <w:szCs w:val="36"/>
                <w:lang w:eastAsia="en-CA"/>
              </w:rPr>
            </w:pPr>
          </w:p>
        </w:tc>
      </w:tr>
      <w:tr w:rsidR="00940830" w:rsidRPr="002F72F9" w14:paraId="08D6B26A" w14:textId="77777777" w:rsidTr="00635DE7">
        <w:trPr>
          <w:trHeight w:val="23"/>
        </w:trPr>
        <w:tc>
          <w:tcPr>
            <w:tcW w:w="2542" w:type="dxa"/>
            <w:gridSpan w:val="2"/>
            <w:vMerge/>
            <w:shd w:val="clear" w:color="auto" w:fill="FFFFFF"/>
          </w:tcPr>
          <w:p w14:paraId="0FE3C147" w14:textId="77777777" w:rsidR="00940830" w:rsidRPr="003E62C8" w:rsidRDefault="00940830" w:rsidP="00635DE7">
            <w:pPr>
              <w:pStyle w:val="NormalWeb"/>
              <w:spacing w:before="0" w:after="0"/>
              <w:jc w:val="right"/>
              <w:rPr>
                <w:rFonts w:ascii="Frutiger LT Std 57 Cn" w:eastAsia="Times New Roman" w:hAnsi="Frutiger LT Std 57 Cn" w:cs="Arial"/>
                <w:sz w:val="2"/>
                <w:szCs w:val="36"/>
                <w:vertAlign w:val="subscript"/>
              </w:rPr>
            </w:pPr>
          </w:p>
        </w:tc>
        <w:tc>
          <w:tcPr>
            <w:tcW w:w="4325" w:type="dxa"/>
            <w:shd w:val="clear" w:color="auto" w:fill="4393C3"/>
            <w:tcMar>
              <w:top w:w="72" w:type="dxa"/>
              <w:left w:w="144" w:type="dxa"/>
              <w:bottom w:w="72" w:type="dxa"/>
              <w:right w:w="144" w:type="dxa"/>
            </w:tcMar>
            <w:vAlign w:val="center"/>
          </w:tcPr>
          <w:p w14:paraId="2F7A8D5F" w14:textId="77777777" w:rsidR="00940830" w:rsidRPr="003E62C8" w:rsidRDefault="00940830" w:rsidP="00635DE7">
            <w:pPr>
              <w:tabs>
                <w:tab w:val="left" w:pos="3193"/>
              </w:tabs>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3924" w:type="dxa"/>
            <w:shd w:val="clear" w:color="auto" w:fill="2166AC"/>
            <w:tcMar>
              <w:top w:w="72" w:type="dxa"/>
              <w:left w:w="144" w:type="dxa"/>
              <w:bottom w:w="72" w:type="dxa"/>
              <w:right w:w="144" w:type="dxa"/>
            </w:tcMar>
            <w:vAlign w:val="center"/>
          </w:tcPr>
          <w:p w14:paraId="0B8E416B" w14:textId="77777777" w:rsidR="00940830" w:rsidRPr="003E62C8" w:rsidRDefault="00940830" w:rsidP="00635DE7">
            <w:pPr>
              <w:tabs>
                <w:tab w:val="left" w:pos="3193"/>
              </w:tabs>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4513" w:type="dxa"/>
            <w:shd w:val="clear" w:color="auto" w:fill="2166AC"/>
            <w:tcMar>
              <w:top w:w="72" w:type="dxa"/>
              <w:left w:w="144" w:type="dxa"/>
              <w:bottom w:w="72" w:type="dxa"/>
              <w:right w:w="144" w:type="dxa"/>
            </w:tcMar>
            <w:vAlign w:val="center"/>
          </w:tcPr>
          <w:p w14:paraId="6B70596B" w14:textId="77777777" w:rsidR="00940830" w:rsidRPr="003E62C8" w:rsidRDefault="00940830" w:rsidP="00635DE7">
            <w:pPr>
              <w:tabs>
                <w:tab w:val="left" w:pos="3193"/>
              </w:tabs>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3729" w:type="dxa"/>
            <w:shd w:val="clear" w:color="auto" w:fill="2166AC"/>
            <w:tcMar>
              <w:top w:w="72" w:type="dxa"/>
              <w:left w:w="144" w:type="dxa"/>
              <w:bottom w:w="72" w:type="dxa"/>
              <w:right w:w="144" w:type="dxa"/>
            </w:tcMar>
            <w:vAlign w:val="center"/>
          </w:tcPr>
          <w:p w14:paraId="50235CE0" w14:textId="77777777" w:rsidR="00940830" w:rsidRPr="003E62C8" w:rsidRDefault="00940830" w:rsidP="00635DE7">
            <w:pPr>
              <w:tabs>
                <w:tab w:val="left" w:pos="3193"/>
              </w:tabs>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2747" w:type="dxa"/>
            <w:shd w:val="clear" w:color="auto" w:fill="2166AC"/>
            <w:tcMar>
              <w:top w:w="72" w:type="dxa"/>
              <w:left w:w="144" w:type="dxa"/>
              <w:bottom w:w="72" w:type="dxa"/>
              <w:right w:w="144" w:type="dxa"/>
            </w:tcMar>
            <w:vAlign w:val="center"/>
          </w:tcPr>
          <w:p w14:paraId="77AED2B7" w14:textId="77777777" w:rsidR="00940830" w:rsidRPr="003E62C8" w:rsidRDefault="00940830" w:rsidP="00635DE7">
            <w:pPr>
              <w:tabs>
                <w:tab w:val="left" w:pos="3193"/>
              </w:tabs>
              <w:spacing w:after="0" w:line="240" w:lineRule="auto"/>
              <w:jc w:val="center"/>
              <w:rPr>
                <w:rFonts w:ascii="Frutiger LT Std 57 Cn" w:eastAsia="Times New Roman" w:hAnsi="Frutiger LT Std 57 Cn" w:cs="Arial"/>
                <w:sz w:val="2"/>
                <w:szCs w:val="36"/>
                <w:lang w:eastAsia="en-CA"/>
              </w:rPr>
            </w:pPr>
          </w:p>
        </w:tc>
      </w:tr>
      <w:tr w:rsidR="00940830" w:rsidRPr="002F72F9" w14:paraId="77657AA7" w14:textId="77777777" w:rsidTr="00635DE7">
        <w:trPr>
          <w:trHeight w:val="21"/>
        </w:trPr>
        <w:tc>
          <w:tcPr>
            <w:tcW w:w="2542" w:type="dxa"/>
            <w:gridSpan w:val="2"/>
            <w:vMerge/>
            <w:shd w:val="clear" w:color="auto" w:fill="FFFFFF"/>
          </w:tcPr>
          <w:p w14:paraId="2F8750C5" w14:textId="77777777" w:rsidR="00940830" w:rsidRPr="003E62C8" w:rsidRDefault="00940830" w:rsidP="00635DE7">
            <w:pPr>
              <w:pStyle w:val="NormalWeb"/>
              <w:spacing w:before="0" w:after="0"/>
              <w:jc w:val="right"/>
              <w:rPr>
                <w:rFonts w:ascii="Frutiger LT Std 57 Cn" w:eastAsia="Times New Roman" w:hAnsi="Frutiger LT Std 57 Cn" w:cs="Arial"/>
                <w:sz w:val="2"/>
                <w:szCs w:val="36"/>
                <w:vertAlign w:val="subscript"/>
              </w:rPr>
            </w:pPr>
          </w:p>
        </w:tc>
        <w:tc>
          <w:tcPr>
            <w:tcW w:w="4325" w:type="dxa"/>
            <w:shd w:val="clear" w:color="auto" w:fill="4393C3"/>
            <w:tcMar>
              <w:top w:w="72" w:type="dxa"/>
              <w:left w:w="144" w:type="dxa"/>
              <w:bottom w:w="72" w:type="dxa"/>
              <w:right w:w="144" w:type="dxa"/>
            </w:tcMar>
            <w:vAlign w:val="center"/>
          </w:tcPr>
          <w:p w14:paraId="75325B3F" w14:textId="77777777" w:rsidR="00940830" w:rsidRPr="003E62C8" w:rsidRDefault="00940830" w:rsidP="00635DE7">
            <w:pPr>
              <w:tabs>
                <w:tab w:val="left" w:pos="3193"/>
              </w:tabs>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3924" w:type="dxa"/>
            <w:shd w:val="clear" w:color="auto" w:fill="2166AC"/>
            <w:tcMar>
              <w:top w:w="72" w:type="dxa"/>
              <w:left w:w="144" w:type="dxa"/>
              <w:bottom w:w="72" w:type="dxa"/>
              <w:right w:w="144" w:type="dxa"/>
            </w:tcMar>
            <w:vAlign w:val="center"/>
          </w:tcPr>
          <w:p w14:paraId="27E37D3E" w14:textId="77777777" w:rsidR="00940830" w:rsidRPr="003E62C8" w:rsidRDefault="00940830" w:rsidP="00635DE7">
            <w:pPr>
              <w:tabs>
                <w:tab w:val="left" w:pos="3193"/>
              </w:tabs>
              <w:spacing w:after="0" w:line="240" w:lineRule="auto"/>
              <w:jc w:val="center"/>
              <w:rPr>
                <w:rFonts w:ascii="Frutiger LT Std 87 ExtraBlk Cn" w:eastAsia="Times New Roman" w:hAnsi="Frutiger LT Std 87 ExtraBlk Cn" w:cs="Arial"/>
                <w:b/>
                <w:bCs/>
                <w:color w:val="FFFFFF"/>
                <w:kern w:val="24"/>
                <w:sz w:val="2"/>
                <w:lang w:val="en-US" w:eastAsia="en-CA"/>
              </w:rPr>
            </w:pPr>
          </w:p>
        </w:tc>
        <w:tc>
          <w:tcPr>
            <w:tcW w:w="4513" w:type="dxa"/>
            <w:shd w:val="clear" w:color="auto" w:fill="053061"/>
            <w:tcMar>
              <w:top w:w="72" w:type="dxa"/>
              <w:left w:w="144" w:type="dxa"/>
              <w:bottom w:w="72" w:type="dxa"/>
              <w:right w:w="144" w:type="dxa"/>
            </w:tcMar>
            <w:vAlign w:val="center"/>
          </w:tcPr>
          <w:p w14:paraId="5D488904" w14:textId="77777777" w:rsidR="00940830" w:rsidRPr="003E62C8" w:rsidRDefault="00940830" w:rsidP="00635DE7">
            <w:pPr>
              <w:tabs>
                <w:tab w:val="left" w:pos="3193"/>
              </w:tabs>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3729" w:type="dxa"/>
            <w:shd w:val="clear" w:color="auto" w:fill="053061"/>
            <w:tcMar>
              <w:top w:w="72" w:type="dxa"/>
              <w:left w:w="144" w:type="dxa"/>
              <w:bottom w:w="72" w:type="dxa"/>
              <w:right w:w="144" w:type="dxa"/>
            </w:tcMar>
            <w:vAlign w:val="center"/>
          </w:tcPr>
          <w:p w14:paraId="42BD41F5" w14:textId="77777777" w:rsidR="00940830" w:rsidRPr="003E62C8" w:rsidRDefault="00940830" w:rsidP="00635DE7">
            <w:pPr>
              <w:tabs>
                <w:tab w:val="left" w:pos="3193"/>
              </w:tabs>
              <w:spacing w:after="0" w:line="240" w:lineRule="auto"/>
              <w:jc w:val="center"/>
              <w:rPr>
                <w:rFonts w:ascii="Frutiger LT Std 87 ExtraBlk Cn" w:eastAsia="Times New Roman" w:hAnsi="Frutiger LT Std 87 ExtraBlk Cn" w:cs="Arial"/>
                <w:b/>
                <w:bCs/>
                <w:noProof/>
                <w:color w:val="FFFFFF"/>
                <w:kern w:val="24"/>
                <w:sz w:val="2"/>
                <w:lang w:eastAsia="en-CA"/>
              </w:rPr>
            </w:pPr>
          </w:p>
        </w:tc>
        <w:tc>
          <w:tcPr>
            <w:tcW w:w="2747" w:type="dxa"/>
            <w:shd w:val="clear" w:color="auto" w:fill="053061"/>
            <w:tcMar>
              <w:top w:w="72" w:type="dxa"/>
              <w:left w:w="144" w:type="dxa"/>
              <w:bottom w:w="72" w:type="dxa"/>
              <w:right w:w="144" w:type="dxa"/>
            </w:tcMar>
            <w:vAlign w:val="center"/>
          </w:tcPr>
          <w:p w14:paraId="7198363B" w14:textId="77777777" w:rsidR="00940830" w:rsidRPr="003E62C8" w:rsidRDefault="00940830" w:rsidP="00635DE7">
            <w:pPr>
              <w:tabs>
                <w:tab w:val="left" w:pos="3193"/>
              </w:tabs>
              <w:spacing w:after="0" w:line="240" w:lineRule="auto"/>
              <w:jc w:val="center"/>
              <w:rPr>
                <w:rFonts w:ascii="Frutiger LT Std 57 Cn" w:eastAsia="Times New Roman" w:hAnsi="Frutiger LT Std 57 Cn" w:cs="Arial"/>
                <w:sz w:val="2"/>
                <w:szCs w:val="36"/>
                <w:lang w:eastAsia="en-CA"/>
              </w:rPr>
            </w:pPr>
          </w:p>
        </w:tc>
      </w:tr>
      <w:tr w:rsidR="00940830" w:rsidRPr="002F72F9" w14:paraId="44BA25D7" w14:textId="77777777" w:rsidTr="00940830">
        <w:trPr>
          <w:trHeight w:val="47"/>
        </w:trPr>
        <w:tc>
          <w:tcPr>
            <w:tcW w:w="2542" w:type="dxa"/>
            <w:gridSpan w:val="2"/>
            <w:vMerge/>
            <w:shd w:val="clear" w:color="auto" w:fill="FFFFFF"/>
          </w:tcPr>
          <w:p w14:paraId="0B1F5760" w14:textId="77777777" w:rsidR="00940830" w:rsidRPr="00E95A42" w:rsidRDefault="00940830" w:rsidP="00635DE7">
            <w:pPr>
              <w:pStyle w:val="NormalWeb"/>
              <w:spacing w:before="0" w:beforeAutospacing="0" w:after="0" w:afterAutospacing="0"/>
              <w:jc w:val="right"/>
              <w:rPr>
                <w:rFonts w:ascii="Frutiger LT Std 57 Cn" w:eastAsia="Times New Roman" w:hAnsi="Frutiger LT Std 57 Cn" w:cs="Arial"/>
                <w:sz w:val="36"/>
                <w:szCs w:val="36"/>
                <w:vertAlign w:val="subscript"/>
              </w:rPr>
            </w:pPr>
          </w:p>
        </w:tc>
        <w:tc>
          <w:tcPr>
            <w:tcW w:w="4325" w:type="dxa"/>
            <w:shd w:val="clear" w:color="auto" w:fill="4393C3"/>
            <w:tcMar>
              <w:top w:w="72" w:type="dxa"/>
              <w:left w:w="144" w:type="dxa"/>
              <w:bottom w:w="72" w:type="dxa"/>
              <w:right w:w="144" w:type="dxa"/>
            </w:tcMar>
            <w:vAlign w:val="center"/>
            <w:hideMark/>
          </w:tcPr>
          <w:p w14:paraId="4C67B758" w14:textId="77777777" w:rsidR="00940830" w:rsidRPr="00B057DD" w:rsidRDefault="00940830" w:rsidP="00635DE7">
            <w:pPr>
              <w:spacing w:after="0" w:line="240" w:lineRule="auto"/>
              <w:jc w:val="center"/>
              <w:rPr>
                <w:rFonts w:ascii="Frutiger LT Std 87 ExtraBlk Cn" w:eastAsia="Times New Roman" w:hAnsi="Frutiger LT Std 87 ExtraBlk Cn" w:cs="Arial"/>
                <w:sz w:val="28"/>
                <w:szCs w:val="36"/>
                <w:lang w:eastAsia="en-CA"/>
              </w:rPr>
            </w:pPr>
            <w:r w:rsidRPr="00B057DD">
              <w:rPr>
                <w:rFonts w:ascii="Frutiger LT Std 87 ExtraBlk Cn" w:eastAsia="Times New Roman" w:hAnsi="Frutiger LT Std 87 ExtraBlk Cn" w:cs="Arial"/>
                <w:b/>
                <w:bCs/>
                <w:color w:val="FFFFFF"/>
                <w:kern w:val="24"/>
                <w:sz w:val="28"/>
                <w:lang w:val="en-US" w:eastAsia="en-CA"/>
              </w:rPr>
              <w:t>INTEREST</w:t>
            </w:r>
          </w:p>
        </w:tc>
        <w:tc>
          <w:tcPr>
            <w:tcW w:w="3924" w:type="dxa"/>
            <w:tcBorders>
              <w:bottom w:val="double" w:sz="4" w:space="0" w:color="ED7D31" w:themeColor="accent2"/>
            </w:tcBorders>
            <w:shd w:val="clear" w:color="auto" w:fill="2166AC"/>
            <w:tcMar>
              <w:top w:w="72" w:type="dxa"/>
              <w:left w:w="144" w:type="dxa"/>
              <w:bottom w:w="72" w:type="dxa"/>
              <w:right w:w="144" w:type="dxa"/>
            </w:tcMar>
            <w:vAlign w:val="center"/>
            <w:hideMark/>
          </w:tcPr>
          <w:p w14:paraId="41F19105" w14:textId="77777777" w:rsidR="00940830" w:rsidRPr="00B057DD" w:rsidRDefault="00940830" w:rsidP="00635DE7">
            <w:pPr>
              <w:spacing w:after="0" w:line="240" w:lineRule="auto"/>
              <w:jc w:val="center"/>
              <w:rPr>
                <w:rFonts w:ascii="Frutiger LT Std 87 ExtraBlk Cn" w:eastAsia="Times New Roman" w:hAnsi="Frutiger LT Std 87 ExtraBlk Cn" w:cs="Arial"/>
                <w:sz w:val="28"/>
                <w:szCs w:val="36"/>
                <w:lang w:eastAsia="en-CA"/>
              </w:rPr>
            </w:pPr>
            <w:r w:rsidRPr="00B057DD">
              <w:rPr>
                <w:rFonts w:ascii="Frutiger LT Std 87 ExtraBlk Cn" w:eastAsia="Times New Roman" w:hAnsi="Frutiger LT Std 87 ExtraBlk Cn" w:cs="Arial"/>
                <w:b/>
                <w:bCs/>
                <w:color w:val="FFFFFF"/>
                <w:kern w:val="24"/>
                <w:sz w:val="28"/>
                <w:lang w:val="en-US" w:eastAsia="en-CA"/>
              </w:rPr>
              <w:t>INFLUENCE</w:t>
            </w:r>
          </w:p>
        </w:tc>
        <w:tc>
          <w:tcPr>
            <w:tcW w:w="4513" w:type="dxa"/>
            <w:shd w:val="clear" w:color="auto" w:fill="053061"/>
            <w:tcMar>
              <w:top w:w="72" w:type="dxa"/>
              <w:left w:w="144" w:type="dxa"/>
              <w:bottom w:w="72" w:type="dxa"/>
              <w:right w:w="144" w:type="dxa"/>
            </w:tcMar>
            <w:vAlign w:val="center"/>
            <w:hideMark/>
          </w:tcPr>
          <w:p w14:paraId="6B5555CA" w14:textId="77777777" w:rsidR="00940830" w:rsidRPr="00B057DD" w:rsidRDefault="00940830" w:rsidP="00635DE7">
            <w:pPr>
              <w:spacing w:after="0" w:line="240" w:lineRule="auto"/>
              <w:jc w:val="center"/>
              <w:rPr>
                <w:rFonts w:ascii="Frutiger LT Std 57 Cn" w:eastAsia="Times New Roman" w:hAnsi="Frutiger LT Std 57 Cn" w:cs="Arial"/>
                <w:sz w:val="28"/>
                <w:szCs w:val="36"/>
                <w:lang w:eastAsia="en-CA"/>
              </w:rPr>
            </w:pPr>
            <w:r w:rsidRPr="00B057DD">
              <w:rPr>
                <w:rFonts w:ascii="Frutiger LT Std 87 ExtraBlk Cn" w:eastAsia="Times New Roman" w:hAnsi="Frutiger LT Std 87 ExtraBlk Cn" w:cs="Arial"/>
                <w:b/>
                <w:bCs/>
                <w:color w:val="FFFFFF"/>
                <w:kern w:val="24"/>
                <w:sz w:val="28"/>
                <w:lang w:val="en-US" w:eastAsia="en-CA"/>
              </w:rPr>
              <w:t>CONTROL</w:t>
            </w:r>
          </w:p>
        </w:tc>
        <w:tc>
          <w:tcPr>
            <w:tcW w:w="3729" w:type="dxa"/>
            <w:shd w:val="clear" w:color="auto" w:fill="009077"/>
            <w:tcMar>
              <w:top w:w="72" w:type="dxa"/>
              <w:left w:w="144" w:type="dxa"/>
              <w:bottom w:w="72" w:type="dxa"/>
              <w:right w:w="144" w:type="dxa"/>
            </w:tcMar>
            <w:hideMark/>
          </w:tcPr>
          <w:p w14:paraId="43C91294" w14:textId="77777777" w:rsidR="00940830" w:rsidRPr="00B057DD" w:rsidRDefault="00940830" w:rsidP="00635DE7">
            <w:pPr>
              <w:spacing w:after="0" w:line="240" w:lineRule="auto"/>
              <w:jc w:val="center"/>
              <w:rPr>
                <w:rFonts w:ascii="Frutiger LT Std 57 Cn" w:eastAsia="Times New Roman" w:hAnsi="Frutiger LT Std 57 Cn" w:cs="Arial"/>
                <w:sz w:val="28"/>
                <w:szCs w:val="36"/>
                <w:lang w:eastAsia="en-CA"/>
              </w:rPr>
            </w:pPr>
          </w:p>
        </w:tc>
        <w:tc>
          <w:tcPr>
            <w:tcW w:w="2747" w:type="dxa"/>
            <w:shd w:val="clear" w:color="auto" w:fill="1B7837"/>
            <w:tcMar>
              <w:top w:w="72" w:type="dxa"/>
              <w:left w:w="144" w:type="dxa"/>
              <w:bottom w:w="72" w:type="dxa"/>
              <w:right w:w="144" w:type="dxa"/>
            </w:tcMar>
            <w:hideMark/>
          </w:tcPr>
          <w:p w14:paraId="13DA9CB2" w14:textId="77777777" w:rsidR="00940830" w:rsidRPr="00B057DD" w:rsidRDefault="00940830" w:rsidP="00635DE7">
            <w:pPr>
              <w:spacing w:after="0" w:line="240" w:lineRule="auto"/>
              <w:jc w:val="center"/>
              <w:rPr>
                <w:rFonts w:ascii="Frutiger LT Std 57 Cn" w:eastAsia="Times New Roman" w:hAnsi="Frutiger LT Std 57 Cn" w:cs="Arial"/>
                <w:sz w:val="28"/>
                <w:szCs w:val="36"/>
                <w:lang w:eastAsia="en-CA"/>
              </w:rPr>
            </w:pPr>
          </w:p>
        </w:tc>
      </w:tr>
      <w:tr w:rsidR="00940830" w:rsidRPr="002F72F9" w14:paraId="1ACEF749" w14:textId="77777777" w:rsidTr="00940830">
        <w:trPr>
          <w:cantSplit/>
          <w:trHeight w:val="619"/>
        </w:trPr>
        <w:tc>
          <w:tcPr>
            <w:tcW w:w="691" w:type="dxa"/>
            <w:vMerge w:val="restart"/>
            <w:shd w:val="clear" w:color="auto" w:fill="8EAADB"/>
            <w:textDirection w:val="btLr"/>
            <w:vAlign w:val="center"/>
          </w:tcPr>
          <w:p w14:paraId="344A8664" w14:textId="77777777" w:rsidR="00940830" w:rsidRPr="00880D89" w:rsidRDefault="00940830" w:rsidP="00635DE7">
            <w:pPr>
              <w:spacing w:after="0" w:line="240" w:lineRule="auto"/>
              <w:ind w:left="113" w:right="113"/>
              <w:jc w:val="center"/>
              <w:rPr>
                <w:rFonts w:ascii="Frutiger LT Std 87 ExtraBlk Cn" w:eastAsia="Times New Roman" w:hAnsi="Frutiger LT Std 87 ExtraBlk Cn" w:cs="Arial"/>
                <w:b/>
                <w:bCs/>
                <w:kern w:val="24"/>
                <w:sz w:val="24"/>
                <w:szCs w:val="26"/>
                <w:lang w:val="en-US" w:eastAsia="en-CA"/>
              </w:rPr>
            </w:pPr>
            <w:r w:rsidRPr="00880D89">
              <w:rPr>
                <w:rFonts w:ascii="Frutiger LT Std 87 ExtraBlk Cn" w:eastAsia="Times New Roman" w:hAnsi="Frutiger LT Std 87 ExtraBlk Cn" w:cs="Arial"/>
                <w:b/>
                <w:bCs/>
                <w:kern w:val="24"/>
                <w:sz w:val="24"/>
                <w:szCs w:val="26"/>
                <w:lang w:val="en-US" w:eastAsia="en-CA"/>
              </w:rPr>
              <w:t>ENERGY SUPPLY</w:t>
            </w:r>
          </w:p>
        </w:tc>
        <w:tc>
          <w:tcPr>
            <w:tcW w:w="1851" w:type="dxa"/>
            <w:shd w:val="clear" w:color="auto" w:fill="FFFFFF" w:themeFill="background1"/>
            <w:tcMar>
              <w:top w:w="72" w:type="dxa"/>
              <w:left w:w="144" w:type="dxa"/>
              <w:bottom w:w="72" w:type="dxa"/>
              <w:right w:w="144" w:type="dxa"/>
            </w:tcMar>
            <w:vAlign w:val="center"/>
            <w:hideMark/>
          </w:tcPr>
          <w:p w14:paraId="2A1289A3" w14:textId="77777777" w:rsidR="00940830" w:rsidRPr="0003566A" w:rsidRDefault="00940830"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Grid-Supplied Energy</w:t>
            </w:r>
          </w:p>
          <w:p w14:paraId="24370DDB" w14:textId="77777777" w:rsidR="00940830" w:rsidRPr="0003566A" w:rsidRDefault="00940830"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w:t>
            </w:r>
            <w:r w:rsidRPr="0003566A">
              <w:rPr>
                <w:rFonts w:ascii="Frutiger LT Std 57 Cn" w:eastAsia="Times New Roman" w:hAnsi="Frutiger LT Std 57 Cn" w:cs="Arial"/>
                <w:b/>
                <w:bCs/>
                <w:i/>
                <w:iCs/>
                <w:kern w:val="24"/>
                <w:lang w:val="en-US" w:eastAsia="en-CA"/>
              </w:rPr>
              <w:t>Imported</w:t>
            </w:r>
            <w:r w:rsidRPr="0003566A">
              <w:rPr>
                <w:rFonts w:ascii="Frutiger LT Std 57 Cn" w:eastAsia="Times New Roman" w:hAnsi="Frutiger LT Std 57 Cn" w:cs="Arial"/>
                <w:b/>
                <w:bCs/>
                <w:kern w:val="24"/>
                <w:lang w:val="en-US" w:eastAsia="en-CA"/>
              </w:rPr>
              <w:t>)</w:t>
            </w:r>
          </w:p>
        </w:tc>
        <w:tc>
          <w:tcPr>
            <w:tcW w:w="4325" w:type="dxa"/>
            <w:tcBorders>
              <w:right w:val="double" w:sz="4" w:space="0" w:color="ED7D31" w:themeColor="accent2"/>
            </w:tcBorders>
            <w:shd w:val="clear" w:color="auto" w:fill="4393C3"/>
            <w:tcMar>
              <w:top w:w="72" w:type="dxa"/>
              <w:left w:w="144" w:type="dxa"/>
              <w:bottom w:w="72" w:type="dxa"/>
              <w:right w:w="144" w:type="dxa"/>
            </w:tcMar>
            <w:hideMark/>
          </w:tcPr>
          <w:p w14:paraId="6F1B43A7"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Increase purchases of clean energy where possible</w:t>
            </w:r>
          </w:p>
          <w:p w14:paraId="03FF473F"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Conduct outreach campaigns</w:t>
            </w:r>
          </w:p>
        </w:tc>
        <w:tc>
          <w:tcPr>
            <w:tcW w:w="3924"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735CECD0"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Explore/develop MOU with electrical utility to increase clean energy supply</w:t>
            </w:r>
          </w:p>
        </w:tc>
        <w:tc>
          <w:tcPr>
            <w:tcW w:w="4513" w:type="dxa"/>
            <w:tcBorders>
              <w:left w:val="double" w:sz="4" w:space="0" w:color="ED7D31" w:themeColor="accent2"/>
            </w:tcBorders>
            <w:shd w:val="clear" w:color="auto" w:fill="053061"/>
            <w:tcMar>
              <w:top w:w="72" w:type="dxa"/>
              <w:left w:w="144" w:type="dxa"/>
              <w:bottom w:w="72" w:type="dxa"/>
              <w:right w:w="144" w:type="dxa"/>
            </w:tcMar>
            <w:hideMark/>
          </w:tcPr>
          <w:p w14:paraId="4EF5D8DA" w14:textId="77777777" w:rsidR="00940830" w:rsidRPr="00E82905" w:rsidRDefault="00940830" w:rsidP="00940830">
            <w:pPr>
              <w:numPr>
                <w:ilvl w:val="0"/>
                <w:numId w:val="26"/>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Procure zero emission energy directly (e.g. power purchase agreements, community choice aggregation)or indirectly (e.g. renewable energy credits)</w:t>
            </w:r>
          </w:p>
        </w:tc>
        <w:tc>
          <w:tcPr>
            <w:tcW w:w="3729" w:type="dxa"/>
            <w:tcBorders>
              <w:bottom w:val="double" w:sz="4" w:space="0" w:color="ED7D31" w:themeColor="accent2"/>
            </w:tcBorders>
            <w:shd w:val="clear" w:color="auto" w:fill="009077"/>
            <w:tcMar>
              <w:top w:w="72" w:type="dxa"/>
              <w:left w:w="144" w:type="dxa"/>
              <w:bottom w:w="72" w:type="dxa"/>
              <w:right w:w="144" w:type="dxa"/>
            </w:tcMar>
            <w:hideMark/>
          </w:tcPr>
          <w:p w14:paraId="488D159C"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Increase zero emission energy supply </w:t>
            </w:r>
          </w:p>
          <w:p w14:paraId="6782E985"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Phase out indirect purchases (e.g. renewable energy credits)</w:t>
            </w:r>
          </w:p>
        </w:tc>
        <w:tc>
          <w:tcPr>
            <w:tcW w:w="2747" w:type="dxa"/>
            <w:shd w:val="clear" w:color="auto" w:fill="1B7837"/>
            <w:tcMar>
              <w:top w:w="72" w:type="dxa"/>
              <w:left w:w="144" w:type="dxa"/>
              <w:bottom w:w="72" w:type="dxa"/>
              <w:right w:w="144" w:type="dxa"/>
            </w:tcMar>
            <w:vAlign w:val="center"/>
          </w:tcPr>
          <w:p w14:paraId="24458A14" w14:textId="77777777" w:rsidR="00940830" w:rsidRPr="00E82905" w:rsidRDefault="00940830"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City runs on 100% zero emission energy</w:t>
            </w:r>
          </w:p>
        </w:tc>
      </w:tr>
      <w:tr w:rsidR="00940830" w:rsidRPr="002F72F9" w14:paraId="65F07382" w14:textId="77777777" w:rsidTr="00940830">
        <w:trPr>
          <w:cantSplit/>
          <w:trHeight w:val="981"/>
        </w:trPr>
        <w:tc>
          <w:tcPr>
            <w:tcW w:w="691" w:type="dxa"/>
            <w:vMerge/>
            <w:shd w:val="clear" w:color="auto" w:fill="8EAADB"/>
          </w:tcPr>
          <w:p w14:paraId="10F17314" w14:textId="77777777" w:rsidR="00940830" w:rsidRPr="00880D89" w:rsidRDefault="00940830" w:rsidP="00635DE7">
            <w:pPr>
              <w:spacing w:after="0" w:line="240" w:lineRule="auto"/>
              <w:rPr>
                <w:rFonts w:ascii="Frutiger LT Std 87 ExtraBlk Cn" w:eastAsia="Times New Roman" w:hAnsi="Frutiger LT Std 87 ExtraBlk Cn" w:cs="Arial"/>
                <w:b/>
                <w:bCs/>
                <w:kern w:val="24"/>
                <w:sz w:val="24"/>
                <w:szCs w:val="26"/>
                <w:lang w:val="en-US" w:eastAsia="en-CA"/>
              </w:rPr>
            </w:pPr>
          </w:p>
        </w:tc>
        <w:tc>
          <w:tcPr>
            <w:tcW w:w="1851" w:type="dxa"/>
            <w:shd w:val="clear" w:color="auto" w:fill="FFFFFF" w:themeFill="background1"/>
            <w:tcMar>
              <w:top w:w="72" w:type="dxa"/>
              <w:left w:w="144" w:type="dxa"/>
              <w:bottom w:w="72" w:type="dxa"/>
              <w:right w:w="144" w:type="dxa"/>
            </w:tcMar>
            <w:vAlign w:val="center"/>
            <w:hideMark/>
          </w:tcPr>
          <w:p w14:paraId="19D88BA7" w14:textId="77777777" w:rsidR="00940830" w:rsidRPr="0003566A" w:rsidRDefault="00940830"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Neighborhood-Scale Energy</w:t>
            </w:r>
          </w:p>
          <w:p w14:paraId="237240CA" w14:textId="77777777" w:rsidR="00940830" w:rsidRPr="0003566A" w:rsidRDefault="00940830"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w:t>
            </w:r>
            <w:r w:rsidRPr="0003566A">
              <w:rPr>
                <w:rFonts w:ascii="Frutiger LT Std 57 Cn" w:eastAsia="Times New Roman" w:hAnsi="Frutiger LT Std 57 Cn" w:cs="Arial"/>
                <w:b/>
                <w:bCs/>
                <w:i/>
                <w:iCs/>
                <w:kern w:val="24"/>
                <w:lang w:val="en-US" w:eastAsia="en-CA"/>
              </w:rPr>
              <w:t>Local</w:t>
            </w:r>
            <w:r w:rsidRPr="0003566A">
              <w:rPr>
                <w:rFonts w:ascii="Frutiger LT Std 57 Cn" w:eastAsia="Times New Roman" w:hAnsi="Frutiger LT Std 57 Cn" w:cs="Arial"/>
                <w:b/>
                <w:bCs/>
                <w:kern w:val="24"/>
                <w:lang w:val="en-US" w:eastAsia="en-CA"/>
              </w:rPr>
              <w:t>)</w:t>
            </w:r>
          </w:p>
        </w:tc>
        <w:tc>
          <w:tcPr>
            <w:tcW w:w="4325" w:type="dxa"/>
            <w:shd w:val="clear" w:color="auto" w:fill="4393C3"/>
            <w:tcMar>
              <w:top w:w="72" w:type="dxa"/>
              <w:left w:w="144" w:type="dxa"/>
              <w:bottom w:w="72" w:type="dxa"/>
              <w:right w:w="144" w:type="dxa"/>
            </w:tcMar>
            <w:hideMark/>
          </w:tcPr>
          <w:p w14:paraId="712C44EB"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Provide programs and incentives </w:t>
            </w:r>
          </w:p>
          <w:p w14:paraId="4A5CECC6"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Conduct outreach campaigns</w:t>
            </w:r>
          </w:p>
          <w:p w14:paraId="69F43614"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Encourage organizations to procure clean energy</w:t>
            </w:r>
          </w:p>
          <w:p w14:paraId="58CB8869"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Decarbonize city-owned generators</w:t>
            </w:r>
          </w:p>
          <w:p w14:paraId="133D1A9C"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Increase internal capacity</w:t>
            </w:r>
          </w:p>
          <w:p w14:paraId="2A328CD1"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Purchase clean energy where available</w:t>
            </w:r>
          </w:p>
        </w:tc>
        <w:tc>
          <w:tcPr>
            <w:tcW w:w="3924" w:type="dxa"/>
            <w:tcBorders>
              <w:top w:val="double" w:sz="4" w:space="0" w:color="ED7D31" w:themeColor="accent2"/>
            </w:tcBorders>
            <w:shd w:val="clear" w:color="auto" w:fill="2166AC"/>
            <w:tcMar>
              <w:top w:w="72" w:type="dxa"/>
              <w:left w:w="144" w:type="dxa"/>
              <w:bottom w:w="72" w:type="dxa"/>
              <w:right w:w="144" w:type="dxa"/>
            </w:tcMar>
            <w:hideMark/>
          </w:tcPr>
          <w:p w14:paraId="705105F7"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Use existing powers (e.g. right-of-way) to leverage low emission DES</w:t>
            </w:r>
          </w:p>
          <w:p w14:paraId="6F5EBEFA"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Use zoning powers to compel low emission DES studies for large developments</w:t>
            </w:r>
          </w:p>
        </w:tc>
        <w:tc>
          <w:tcPr>
            <w:tcW w:w="4513" w:type="dxa"/>
            <w:tcBorders>
              <w:bottom w:val="double" w:sz="4" w:space="0" w:color="ED7D31" w:themeColor="accent2"/>
              <w:right w:val="double" w:sz="4" w:space="0" w:color="ED7D31" w:themeColor="accent2"/>
            </w:tcBorders>
            <w:shd w:val="clear" w:color="auto" w:fill="053061"/>
            <w:tcMar>
              <w:top w:w="72" w:type="dxa"/>
              <w:left w:w="144" w:type="dxa"/>
              <w:bottom w:w="72" w:type="dxa"/>
              <w:right w:w="144" w:type="dxa"/>
            </w:tcMar>
            <w:hideMark/>
          </w:tcPr>
          <w:p w14:paraId="20D16C8A" w14:textId="77777777" w:rsidR="00940830" w:rsidRPr="00E82905" w:rsidRDefault="00940830" w:rsidP="00940830">
            <w:pPr>
              <w:numPr>
                <w:ilvl w:val="0"/>
                <w:numId w:val="27"/>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 xml:space="preserve">Develop or require development of low emission district energy systems </w:t>
            </w:r>
          </w:p>
          <w:p w14:paraId="1D3DBD61" w14:textId="77777777" w:rsidR="00940830" w:rsidRPr="00E82905" w:rsidRDefault="00940830" w:rsidP="00940830">
            <w:pPr>
              <w:numPr>
                <w:ilvl w:val="0"/>
                <w:numId w:val="27"/>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 xml:space="preserve">Require certain new buildings to connect to district energy systems </w:t>
            </w:r>
          </w:p>
        </w:tc>
        <w:tc>
          <w:tcPr>
            <w:tcW w:w="3729"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009077"/>
            <w:tcMar>
              <w:top w:w="72" w:type="dxa"/>
              <w:left w:w="144" w:type="dxa"/>
              <w:bottom w:w="72" w:type="dxa"/>
              <w:right w:w="144" w:type="dxa"/>
            </w:tcMar>
            <w:hideMark/>
          </w:tcPr>
          <w:p w14:paraId="64970482"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Transition from low emission to zero emission DES</w:t>
            </w:r>
          </w:p>
          <w:p w14:paraId="1094DA01"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Prioritize connection of  existing loads to direct energy systems</w:t>
            </w:r>
          </w:p>
        </w:tc>
        <w:tc>
          <w:tcPr>
            <w:tcW w:w="2747" w:type="dxa"/>
            <w:tcBorders>
              <w:left w:val="double" w:sz="4" w:space="0" w:color="ED7D31" w:themeColor="accent2"/>
            </w:tcBorders>
            <w:shd w:val="clear" w:color="auto" w:fill="1B7837"/>
            <w:tcMar>
              <w:top w:w="72" w:type="dxa"/>
              <w:left w:w="144" w:type="dxa"/>
              <w:bottom w:w="72" w:type="dxa"/>
              <w:right w:w="144" w:type="dxa"/>
            </w:tcMar>
            <w:vAlign w:val="center"/>
          </w:tcPr>
          <w:p w14:paraId="397C059F" w14:textId="77777777" w:rsidR="00940830" w:rsidRPr="00E82905" w:rsidRDefault="00940830"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High intensity loads are served by zero emission district energy as needed</w:t>
            </w:r>
          </w:p>
        </w:tc>
      </w:tr>
      <w:tr w:rsidR="00940830" w:rsidRPr="002F72F9" w14:paraId="2968526B" w14:textId="77777777" w:rsidTr="00940830">
        <w:trPr>
          <w:cantSplit/>
          <w:trHeight w:val="895"/>
        </w:trPr>
        <w:tc>
          <w:tcPr>
            <w:tcW w:w="691" w:type="dxa"/>
            <w:vMerge/>
            <w:shd w:val="clear" w:color="auto" w:fill="8EAADB"/>
          </w:tcPr>
          <w:p w14:paraId="548C3EC2" w14:textId="77777777" w:rsidR="00940830" w:rsidRPr="00880D89" w:rsidRDefault="00940830" w:rsidP="00635DE7">
            <w:pPr>
              <w:spacing w:after="0" w:line="240" w:lineRule="auto"/>
              <w:rPr>
                <w:rFonts w:ascii="Frutiger LT Std 87 ExtraBlk Cn" w:eastAsia="Times New Roman" w:hAnsi="Frutiger LT Std 87 ExtraBlk Cn" w:cs="Arial"/>
                <w:b/>
                <w:bCs/>
                <w:kern w:val="24"/>
                <w:sz w:val="24"/>
                <w:szCs w:val="26"/>
                <w:lang w:val="en-US" w:eastAsia="en-CA"/>
              </w:rPr>
            </w:pPr>
          </w:p>
        </w:tc>
        <w:tc>
          <w:tcPr>
            <w:tcW w:w="1851" w:type="dxa"/>
            <w:shd w:val="clear" w:color="auto" w:fill="FFFFFF" w:themeFill="background1"/>
            <w:tcMar>
              <w:top w:w="72" w:type="dxa"/>
              <w:left w:w="144" w:type="dxa"/>
              <w:bottom w:w="72" w:type="dxa"/>
              <w:right w:w="144" w:type="dxa"/>
            </w:tcMar>
            <w:vAlign w:val="center"/>
            <w:hideMark/>
          </w:tcPr>
          <w:p w14:paraId="23506DF9" w14:textId="77777777" w:rsidR="00940830" w:rsidRPr="0003566A" w:rsidRDefault="00940830"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On-Site Energy</w:t>
            </w:r>
          </w:p>
          <w:p w14:paraId="5F97A699" w14:textId="77777777" w:rsidR="00940830" w:rsidRPr="0003566A" w:rsidRDefault="00940830"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w:t>
            </w:r>
            <w:r w:rsidRPr="0003566A">
              <w:rPr>
                <w:rFonts w:ascii="Frutiger LT Std 57 Cn" w:eastAsia="Times New Roman" w:hAnsi="Frutiger LT Std 57 Cn" w:cs="Arial"/>
                <w:b/>
                <w:bCs/>
                <w:i/>
                <w:iCs/>
                <w:kern w:val="24"/>
                <w:lang w:val="en-US" w:eastAsia="en-CA"/>
              </w:rPr>
              <w:t>Local</w:t>
            </w:r>
            <w:r w:rsidRPr="0003566A">
              <w:rPr>
                <w:rFonts w:ascii="Frutiger LT Std 57 Cn" w:eastAsia="Times New Roman" w:hAnsi="Frutiger LT Std 57 Cn" w:cs="Arial"/>
                <w:b/>
                <w:bCs/>
                <w:kern w:val="24"/>
                <w:lang w:val="en-US" w:eastAsia="en-CA"/>
              </w:rPr>
              <w:t>)</w:t>
            </w:r>
          </w:p>
        </w:tc>
        <w:tc>
          <w:tcPr>
            <w:tcW w:w="4325" w:type="dxa"/>
            <w:shd w:val="clear" w:color="auto" w:fill="4393C3"/>
            <w:tcMar>
              <w:top w:w="72" w:type="dxa"/>
              <w:left w:w="144" w:type="dxa"/>
              <w:bottom w:w="72" w:type="dxa"/>
              <w:right w:w="144" w:type="dxa"/>
            </w:tcMar>
            <w:hideMark/>
          </w:tcPr>
          <w:p w14:paraId="57DF1DD0"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Provide programs and incentives </w:t>
            </w:r>
          </w:p>
          <w:p w14:paraId="2587936C"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Conduct outreach campaigns </w:t>
            </w:r>
          </w:p>
          <w:p w14:paraId="5D2F6E6C"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Offer bulk buy programs</w:t>
            </w:r>
          </w:p>
          <w:p w14:paraId="7FAC1D6A"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Increase internal capacity </w:t>
            </w:r>
          </w:p>
          <w:p w14:paraId="08F17933"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Install on-site generation at city facilities</w:t>
            </w:r>
          </w:p>
        </w:tc>
        <w:tc>
          <w:tcPr>
            <w:tcW w:w="3924" w:type="dxa"/>
            <w:tcBorders>
              <w:bottom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32C35F96"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Update regulations to support on-site energy generation</w:t>
            </w:r>
          </w:p>
        </w:tc>
        <w:tc>
          <w:tcPr>
            <w:tcW w:w="4513"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053061"/>
            <w:tcMar>
              <w:top w:w="72" w:type="dxa"/>
              <w:left w:w="144" w:type="dxa"/>
              <w:bottom w:w="72" w:type="dxa"/>
              <w:right w:w="144" w:type="dxa"/>
            </w:tcMar>
            <w:hideMark/>
          </w:tcPr>
          <w:p w14:paraId="0C36D0F7" w14:textId="77777777" w:rsidR="00940830" w:rsidRPr="00E82905" w:rsidRDefault="00940830" w:rsidP="00940830">
            <w:pPr>
              <w:numPr>
                <w:ilvl w:val="0"/>
                <w:numId w:val="28"/>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Evaluate potential for zero emission on-site thermal systems</w:t>
            </w:r>
          </w:p>
          <w:p w14:paraId="2DFB548B" w14:textId="77777777" w:rsidR="00940830" w:rsidRPr="00E82905" w:rsidRDefault="00940830" w:rsidP="00940830">
            <w:pPr>
              <w:numPr>
                <w:ilvl w:val="0"/>
                <w:numId w:val="28"/>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a renewable energy proliferation strategy</w:t>
            </w:r>
          </w:p>
          <w:p w14:paraId="1DE736E8" w14:textId="77777777" w:rsidR="00940830" w:rsidRPr="00E82905" w:rsidRDefault="00940830" w:rsidP="00940830">
            <w:pPr>
              <w:numPr>
                <w:ilvl w:val="0"/>
                <w:numId w:val="28"/>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Lobby for authority to allow peer-to-peer energy transactions</w:t>
            </w:r>
          </w:p>
        </w:tc>
        <w:tc>
          <w:tcPr>
            <w:tcW w:w="3729" w:type="dxa"/>
            <w:tcBorders>
              <w:top w:val="double" w:sz="4" w:space="0" w:color="ED7D31" w:themeColor="accent2"/>
              <w:left w:val="double" w:sz="4" w:space="0" w:color="ED7D31" w:themeColor="accent2"/>
            </w:tcBorders>
            <w:shd w:val="clear" w:color="auto" w:fill="009077"/>
            <w:tcMar>
              <w:top w:w="72" w:type="dxa"/>
              <w:left w:w="144" w:type="dxa"/>
              <w:bottom w:w="72" w:type="dxa"/>
              <w:right w:w="144" w:type="dxa"/>
            </w:tcMar>
            <w:hideMark/>
          </w:tcPr>
          <w:p w14:paraId="4A323706"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Establish peer-to-peer energy transactions as a key part of the city’s energy market</w:t>
            </w:r>
          </w:p>
          <w:p w14:paraId="0375CBBB"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Implement an on-site renewable energy strategy</w:t>
            </w:r>
          </w:p>
        </w:tc>
        <w:tc>
          <w:tcPr>
            <w:tcW w:w="2747" w:type="dxa"/>
            <w:shd w:val="clear" w:color="auto" w:fill="1B7837"/>
            <w:tcMar>
              <w:top w:w="72" w:type="dxa"/>
              <w:left w:w="144" w:type="dxa"/>
              <w:bottom w:w="72" w:type="dxa"/>
              <w:right w:w="144" w:type="dxa"/>
            </w:tcMar>
            <w:vAlign w:val="center"/>
          </w:tcPr>
          <w:p w14:paraId="591583A6" w14:textId="77777777" w:rsidR="00940830" w:rsidRPr="00E82905" w:rsidRDefault="00940830"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Grid-supplied and neighborhood-scale energy supplemented by desired level of on-site generation</w:t>
            </w:r>
          </w:p>
        </w:tc>
      </w:tr>
      <w:tr w:rsidR="00940830" w:rsidRPr="002F72F9" w14:paraId="42D42A12" w14:textId="77777777" w:rsidTr="00940830">
        <w:trPr>
          <w:cantSplit/>
          <w:trHeight w:val="314"/>
        </w:trPr>
        <w:tc>
          <w:tcPr>
            <w:tcW w:w="691" w:type="dxa"/>
            <w:vMerge/>
            <w:shd w:val="clear" w:color="auto" w:fill="8EAADB"/>
          </w:tcPr>
          <w:p w14:paraId="222EA7EB" w14:textId="77777777" w:rsidR="00940830" w:rsidRPr="00880D89" w:rsidRDefault="00940830" w:rsidP="00635DE7">
            <w:pPr>
              <w:spacing w:after="0" w:line="240" w:lineRule="auto"/>
              <w:rPr>
                <w:rFonts w:ascii="Frutiger LT Std 87 ExtraBlk Cn" w:eastAsia="Times New Roman" w:hAnsi="Frutiger LT Std 87 ExtraBlk Cn" w:cs="Arial"/>
                <w:b/>
                <w:bCs/>
                <w:kern w:val="24"/>
                <w:sz w:val="24"/>
                <w:szCs w:val="26"/>
                <w:lang w:val="en-US" w:eastAsia="en-CA"/>
              </w:rPr>
            </w:pPr>
          </w:p>
        </w:tc>
        <w:tc>
          <w:tcPr>
            <w:tcW w:w="1851" w:type="dxa"/>
            <w:shd w:val="clear" w:color="auto" w:fill="FFFFFF" w:themeFill="background1"/>
            <w:tcMar>
              <w:top w:w="72" w:type="dxa"/>
              <w:left w:w="144" w:type="dxa"/>
              <w:bottom w:w="72" w:type="dxa"/>
              <w:right w:w="144" w:type="dxa"/>
            </w:tcMar>
            <w:vAlign w:val="center"/>
            <w:hideMark/>
          </w:tcPr>
          <w:p w14:paraId="72EC9C10" w14:textId="77777777" w:rsidR="00940830" w:rsidRPr="0003566A" w:rsidRDefault="00940830"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Grid Modernization</w:t>
            </w:r>
          </w:p>
        </w:tc>
        <w:tc>
          <w:tcPr>
            <w:tcW w:w="4325" w:type="dxa"/>
            <w:tcBorders>
              <w:right w:val="double" w:sz="4" w:space="0" w:color="ED7D31" w:themeColor="accent2"/>
            </w:tcBorders>
            <w:shd w:val="clear" w:color="auto" w:fill="4393C3"/>
            <w:tcMar>
              <w:top w:w="72" w:type="dxa"/>
              <w:left w:w="144" w:type="dxa"/>
              <w:bottom w:w="72" w:type="dxa"/>
              <w:right w:w="144" w:type="dxa"/>
            </w:tcMar>
            <w:hideMark/>
          </w:tcPr>
          <w:p w14:paraId="7A2C0CC4"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Develop internal capacity to understand grid modernization and its relationship to achieving climate and energy objectives</w:t>
            </w:r>
          </w:p>
        </w:tc>
        <w:tc>
          <w:tcPr>
            <w:tcW w:w="3924"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06F2BE42"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hAnsi="Frutiger LT Std 57 Cn"/>
                <w:bCs/>
                <w:color w:val="FFFFFF" w:themeColor="background1"/>
                <w:sz w:val="19"/>
                <w:szCs w:val="19"/>
              </w:rPr>
              <w:t>Work with utilities to install advanced metering infrastructure</w:t>
            </w:r>
          </w:p>
        </w:tc>
        <w:tc>
          <w:tcPr>
            <w:tcW w:w="4513" w:type="dxa"/>
            <w:tcBorders>
              <w:top w:val="double" w:sz="4" w:space="0" w:color="ED7D31" w:themeColor="accent2"/>
              <w:left w:val="double" w:sz="4" w:space="0" w:color="ED7D31" w:themeColor="accent2"/>
            </w:tcBorders>
            <w:shd w:val="clear" w:color="auto" w:fill="053061"/>
            <w:tcMar>
              <w:top w:w="72" w:type="dxa"/>
              <w:left w:w="144" w:type="dxa"/>
              <w:bottom w:w="72" w:type="dxa"/>
              <w:right w:w="144" w:type="dxa"/>
            </w:tcMar>
            <w:hideMark/>
          </w:tcPr>
          <w:p w14:paraId="2979919E" w14:textId="77777777" w:rsidR="00940830" w:rsidRPr="00E82905" w:rsidRDefault="00940830" w:rsidP="00940830">
            <w:pPr>
              <w:numPr>
                <w:ilvl w:val="0"/>
                <w:numId w:val="28"/>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Require buildings to install advanced meters</w:t>
            </w:r>
          </w:p>
          <w:p w14:paraId="37D4113F" w14:textId="77777777" w:rsidR="00940830" w:rsidRPr="00E82905" w:rsidRDefault="00940830" w:rsidP="00940830">
            <w:pPr>
              <w:numPr>
                <w:ilvl w:val="0"/>
                <w:numId w:val="28"/>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Study grid’s ability to host distributed energy resources (with utility)</w:t>
            </w:r>
          </w:p>
          <w:p w14:paraId="5DA6763A" w14:textId="77777777" w:rsidR="00940830" w:rsidRPr="00E82905" w:rsidRDefault="00940830" w:rsidP="00940830">
            <w:pPr>
              <w:numPr>
                <w:ilvl w:val="0"/>
                <w:numId w:val="28"/>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Lobby state and electric utility to incorporate distributed energy resources into planning</w:t>
            </w:r>
          </w:p>
        </w:tc>
        <w:tc>
          <w:tcPr>
            <w:tcW w:w="3729" w:type="dxa"/>
            <w:shd w:val="clear" w:color="auto" w:fill="009077"/>
            <w:tcMar>
              <w:top w:w="72" w:type="dxa"/>
              <w:left w:w="144" w:type="dxa"/>
              <w:bottom w:w="72" w:type="dxa"/>
              <w:right w:w="144" w:type="dxa"/>
            </w:tcMar>
            <w:hideMark/>
          </w:tcPr>
          <w:p w14:paraId="56126ED4"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Develop a location-based profile of energy and emissions</w:t>
            </w:r>
          </w:p>
          <w:p w14:paraId="1C329A1A"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Implement and support pilot projects</w:t>
            </w:r>
          </w:p>
          <w:p w14:paraId="5C4E9E2D"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Work with state to allow and develop a peer-to-peer energy market</w:t>
            </w:r>
          </w:p>
        </w:tc>
        <w:tc>
          <w:tcPr>
            <w:tcW w:w="2747" w:type="dxa"/>
            <w:shd w:val="clear" w:color="auto" w:fill="1B7837"/>
            <w:tcMar>
              <w:top w:w="72" w:type="dxa"/>
              <w:left w:w="144" w:type="dxa"/>
              <w:bottom w:w="72" w:type="dxa"/>
              <w:right w:w="144" w:type="dxa"/>
            </w:tcMar>
            <w:vAlign w:val="center"/>
          </w:tcPr>
          <w:p w14:paraId="4F17102B" w14:textId="77777777" w:rsidR="00940830" w:rsidRPr="00E82905" w:rsidRDefault="00940830"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Highly efficient grid capable of supporting desired level of distributed energy resources</w:t>
            </w:r>
          </w:p>
        </w:tc>
      </w:tr>
      <w:tr w:rsidR="00940830" w:rsidRPr="002F72F9" w14:paraId="4D3AF965" w14:textId="77777777" w:rsidTr="00940830">
        <w:trPr>
          <w:cantSplit/>
          <w:trHeight w:val="451"/>
        </w:trPr>
        <w:tc>
          <w:tcPr>
            <w:tcW w:w="691" w:type="dxa"/>
            <w:vMerge w:val="restart"/>
            <w:shd w:val="clear" w:color="auto" w:fill="70AD47"/>
            <w:textDirection w:val="btLr"/>
            <w:vAlign w:val="center"/>
          </w:tcPr>
          <w:p w14:paraId="605ED652" w14:textId="77777777" w:rsidR="00940830" w:rsidRPr="00880D89" w:rsidRDefault="00940830" w:rsidP="00635DE7">
            <w:pPr>
              <w:spacing w:after="0" w:line="240" w:lineRule="auto"/>
              <w:ind w:left="113" w:right="113"/>
              <w:jc w:val="center"/>
              <w:rPr>
                <w:rFonts w:ascii="Frutiger LT Std 87 ExtraBlk Cn" w:eastAsia="Times New Roman" w:hAnsi="Frutiger LT Std 87 ExtraBlk Cn" w:cs="Arial"/>
                <w:b/>
                <w:bCs/>
                <w:kern w:val="24"/>
                <w:sz w:val="24"/>
                <w:szCs w:val="26"/>
                <w:lang w:val="en-US" w:eastAsia="en-CA"/>
              </w:rPr>
            </w:pPr>
            <w:r w:rsidRPr="00880D89">
              <w:rPr>
                <w:rFonts w:ascii="Frutiger LT Std 87 ExtraBlk Cn" w:eastAsia="Times New Roman" w:hAnsi="Frutiger LT Std 87 ExtraBlk Cn" w:cs="Arial"/>
                <w:b/>
                <w:bCs/>
                <w:kern w:val="24"/>
                <w:sz w:val="24"/>
                <w:szCs w:val="26"/>
                <w:lang w:val="en-US" w:eastAsia="en-CA"/>
              </w:rPr>
              <w:t>BUILDINGS</w:t>
            </w:r>
          </w:p>
        </w:tc>
        <w:tc>
          <w:tcPr>
            <w:tcW w:w="1851" w:type="dxa"/>
            <w:shd w:val="clear" w:color="auto" w:fill="FFFFFF" w:themeFill="background1"/>
            <w:tcMar>
              <w:top w:w="72" w:type="dxa"/>
              <w:left w:w="144" w:type="dxa"/>
              <w:bottom w:w="72" w:type="dxa"/>
              <w:right w:w="144" w:type="dxa"/>
            </w:tcMar>
            <w:vAlign w:val="center"/>
            <w:hideMark/>
          </w:tcPr>
          <w:p w14:paraId="3150E334" w14:textId="77777777" w:rsidR="00940830" w:rsidRPr="0003566A" w:rsidRDefault="00940830"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New Buildings</w:t>
            </w:r>
          </w:p>
        </w:tc>
        <w:tc>
          <w:tcPr>
            <w:tcW w:w="4325" w:type="dxa"/>
            <w:tcBorders>
              <w:right w:val="double" w:sz="4" w:space="0" w:color="ED7D31" w:themeColor="accent2"/>
            </w:tcBorders>
            <w:shd w:val="clear" w:color="auto" w:fill="4393C3"/>
            <w:tcMar>
              <w:top w:w="72" w:type="dxa"/>
              <w:left w:w="144" w:type="dxa"/>
              <w:bottom w:w="72" w:type="dxa"/>
              <w:right w:w="144" w:type="dxa"/>
            </w:tcMar>
            <w:hideMark/>
          </w:tcPr>
          <w:p w14:paraId="07290C73"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Offer incentives</w:t>
            </w:r>
          </w:p>
          <w:p w14:paraId="4CCF40FD"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Coordinate bulk buy programs</w:t>
            </w:r>
          </w:p>
          <w:p w14:paraId="45FD0001"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Support building sector training</w:t>
            </w:r>
          </w:p>
          <w:p w14:paraId="15F5F4E4"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Pilot technologies</w:t>
            </w:r>
          </w:p>
          <w:p w14:paraId="17C09018"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Study thermal and industrial decarbonization options</w:t>
            </w:r>
          </w:p>
        </w:tc>
        <w:tc>
          <w:tcPr>
            <w:tcW w:w="3924"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5164A436"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Integrate GHG emissions performance into ‘up-zoning’ and programs</w:t>
            </w:r>
          </w:p>
        </w:tc>
        <w:tc>
          <w:tcPr>
            <w:tcW w:w="4513" w:type="dxa"/>
            <w:tcBorders>
              <w:left w:val="double" w:sz="4" w:space="0" w:color="ED7D31" w:themeColor="accent2"/>
            </w:tcBorders>
            <w:shd w:val="clear" w:color="auto" w:fill="053061"/>
            <w:tcMar>
              <w:top w:w="72" w:type="dxa"/>
              <w:left w:w="144" w:type="dxa"/>
              <w:bottom w:w="72" w:type="dxa"/>
              <w:right w:w="144" w:type="dxa"/>
            </w:tcMar>
            <w:hideMark/>
          </w:tcPr>
          <w:p w14:paraId="1CFC8E00"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a roadmap to zero emission building (ZEB) codes</w:t>
            </w:r>
          </w:p>
          <w:p w14:paraId="1FE05C6F"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 xml:space="preserve">Map trajectory to ZEB performance </w:t>
            </w:r>
          </w:p>
          <w:p w14:paraId="7D46DE45"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Incentive programs with utilities for ZEBs</w:t>
            </w:r>
          </w:p>
        </w:tc>
        <w:tc>
          <w:tcPr>
            <w:tcW w:w="3729" w:type="dxa"/>
            <w:shd w:val="clear" w:color="auto" w:fill="009077"/>
            <w:tcMar>
              <w:top w:w="72" w:type="dxa"/>
              <w:left w:w="144" w:type="dxa"/>
              <w:bottom w:w="72" w:type="dxa"/>
              <w:right w:w="144" w:type="dxa"/>
            </w:tcMar>
            <w:hideMark/>
          </w:tcPr>
          <w:p w14:paraId="22C9F601"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Implement ZEB building codes</w:t>
            </w:r>
          </w:p>
        </w:tc>
        <w:tc>
          <w:tcPr>
            <w:tcW w:w="2747" w:type="dxa"/>
            <w:shd w:val="clear" w:color="auto" w:fill="1B7837"/>
            <w:tcMar>
              <w:top w:w="72" w:type="dxa"/>
              <w:left w:w="144" w:type="dxa"/>
              <w:bottom w:w="72" w:type="dxa"/>
              <w:right w:w="144" w:type="dxa"/>
            </w:tcMar>
            <w:vAlign w:val="center"/>
          </w:tcPr>
          <w:p w14:paraId="38EF3E6F" w14:textId="77777777" w:rsidR="00940830" w:rsidRPr="00E82905" w:rsidRDefault="00940830"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All new buildings required to be zero emissions</w:t>
            </w:r>
          </w:p>
        </w:tc>
      </w:tr>
      <w:tr w:rsidR="00940830" w:rsidRPr="002F72F9" w14:paraId="70A2193A" w14:textId="77777777" w:rsidTr="00940830">
        <w:trPr>
          <w:cantSplit/>
          <w:trHeight w:val="1115"/>
        </w:trPr>
        <w:tc>
          <w:tcPr>
            <w:tcW w:w="691" w:type="dxa"/>
            <w:vMerge/>
            <w:shd w:val="clear" w:color="auto" w:fill="70AD47"/>
          </w:tcPr>
          <w:p w14:paraId="6A7E860F" w14:textId="77777777" w:rsidR="00940830" w:rsidRPr="00880D89" w:rsidRDefault="00940830" w:rsidP="00635DE7">
            <w:pPr>
              <w:spacing w:after="0" w:line="240" w:lineRule="auto"/>
              <w:rPr>
                <w:rFonts w:ascii="Frutiger LT Std 87 ExtraBlk Cn" w:eastAsia="Times New Roman" w:hAnsi="Frutiger LT Std 87 ExtraBlk Cn" w:cs="Arial"/>
                <w:b/>
                <w:bCs/>
                <w:kern w:val="24"/>
                <w:sz w:val="24"/>
                <w:szCs w:val="26"/>
                <w:lang w:val="en-US" w:eastAsia="en-CA"/>
              </w:rPr>
            </w:pPr>
          </w:p>
        </w:tc>
        <w:tc>
          <w:tcPr>
            <w:tcW w:w="1851" w:type="dxa"/>
            <w:shd w:val="clear" w:color="auto" w:fill="FFFFFF" w:themeFill="background1"/>
            <w:tcMar>
              <w:top w:w="72" w:type="dxa"/>
              <w:left w:w="144" w:type="dxa"/>
              <w:bottom w:w="72" w:type="dxa"/>
              <w:right w:w="144" w:type="dxa"/>
            </w:tcMar>
            <w:vAlign w:val="center"/>
            <w:hideMark/>
          </w:tcPr>
          <w:p w14:paraId="12E9DCA5" w14:textId="77777777" w:rsidR="00940830" w:rsidRPr="0003566A" w:rsidRDefault="00940830"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Existing Buildings</w:t>
            </w:r>
          </w:p>
        </w:tc>
        <w:tc>
          <w:tcPr>
            <w:tcW w:w="4325" w:type="dxa"/>
            <w:tcBorders>
              <w:right w:val="double" w:sz="4" w:space="0" w:color="ED7D31" w:themeColor="accent2"/>
            </w:tcBorders>
            <w:shd w:val="clear" w:color="auto" w:fill="4393C3"/>
            <w:tcMar>
              <w:top w:w="72" w:type="dxa"/>
              <w:left w:w="144" w:type="dxa"/>
              <w:bottom w:w="72" w:type="dxa"/>
              <w:right w:w="144" w:type="dxa"/>
            </w:tcMar>
            <w:hideMark/>
          </w:tcPr>
          <w:p w14:paraId="30C26EB3"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Provide decarbonization and efficiency programs and incentives </w:t>
            </w:r>
          </w:p>
          <w:p w14:paraId="2E1D8AD1"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Support building sector training</w:t>
            </w:r>
          </w:p>
          <w:p w14:paraId="3E6339D6"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Pilot technologies</w:t>
            </w:r>
          </w:p>
          <w:p w14:paraId="7FAE8C46"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Study thermal and industrial decarbonization options</w:t>
            </w:r>
          </w:p>
          <w:p w14:paraId="664848D9"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Implement municipal energy management program </w:t>
            </w:r>
          </w:p>
          <w:p w14:paraId="7E1F8A90"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Increase internal capacity</w:t>
            </w:r>
          </w:p>
        </w:tc>
        <w:tc>
          <w:tcPr>
            <w:tcW w:w="3924"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1B13BF6F"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Explore/develop MOU with utilities to decarbonize buildings</w:t>
            </w:r>
          </w:p>
        </w:tc>
        <w:tc>
          <w:tcPr>
            <w:tcW w:w="4513" w:type="dxa"/>
            <w:tcBorders>
              <w:left w:val="double" w:sz="4" w:space="0" w:color="ED7D31" w:themeColor="accent2"/>
            </w:tcBorders>
            <w:shd w:val="clear" w:color="auto" w:fill="053061"/>
            <w:tcMar>
              <w:top w:w="72" w:type="dxa"/>
              <w:left w:w="144" w:type="dxa"/>
              <w:bottom w:w="72" w:type="dxa"/>
              <w:right w:w="144" w:type="dxa"/>
            </w:tcMar>
            <w:hideMark/>
          </w:tcPr>
          <w:p w14:paraId="5FA3C862" w14:textId="77777777" w:rsidR="00940830" w:rsidRPr="00E82905" w:rsidRDefault="00940830" w:rsidP="00940830">
            <w:pPr>
              <w:numPr>
                <w:ilvl w:val="0"/>
                <w:numId w:val="30"/>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Offer incentives for decarbonization</w:t>
            </w:r>
          </w:p>
          <w:p w14:paraId="294B473F" w14:textId="77777777" w:rsidR="00940830" w:rsidRPr="00E82905" w:rsidRDefault="00940830" w:rsidP="00940830">
            <w:pPr>
              <w:numPr>
                <w:ilvl w:val="0"/>
                <w:numId w:val="30"/>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Enact a building energy reporting and benchmarking policy</w:t>
            </w:r>
          </w:p>
          <w:p w14:paraId="47F90817" w14:textId="77777777" w:rsidR="00940830" w:rsidRPr="00E82905" w:rsidRDefault="00940830" w:rsidP="00940830">
            <w:pPr>
              <w:numPr>
                <w:ilvl w:val="0"/>
                <w:numId w:val="30"/>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Integrate GHG emissions into retrofit requirements</w:t>
            </w:r>
          </w:p>
          <w:p w14:paraId="37B829C8" w14:textId="77777777" w:rsidR="00940830" w:rsidRPr="00E82905" w:rsidRDefault="00940830" w:rsidP="00940830">
            <w:pPr>
              <w:numPr>
                <w:ilvl w:val="0"/>
                <w:numId w:val="30"/>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incentive programs with utilities for ZEBs</w:t>
            </w:r>
          </w:p>
          <w:p w14:paraId="2F27A5D0" w14:textId="77777777" w:rsidR="00940830" w:rsidRPr="00E82905" w:rsidRDefault="00940830" w:rsidP="00940830">
            <w:pPr>
              <w:numPr>
                <w:ilvl w:val="0"/>
                <w:numId w:val="30"/>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Offer decarbonization incentives</w:t>
            </w:r>
          </w:p>
        </w:tc>
        <w:tc>
          <w:tcPr>
            <w:tcW w:w="3729" w:type="dxa"/>
            <w:shd w:val="clear" w:color="auto" w:fill="009077"/>
            <w:tcMar>
              <w:top w:w="72" w:type="dxa"/>
              <w:left w:w="144" w:type="dxa"/>
              <w:bottom w:w="72" w:type="dxa"/>
              <w:right w:w="144" w:type="dxa"/>
            </w:tcMar>
            <w:hideMark/>
          </w:tcPr>
          <w:p w14:paraId="1F10F355"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 xml:space="preserve">Retrofit all existing buildings to eliminate fossil fuel dependency </w:t>
            </w:r>
          </w:p>
        </w:tc>
        <w:tc>
          <w:tcPr>
            <w:tcW w:w="2747" w:type="dxa"/>
            <w:shd w:val="clear" w:color="auto" w:fill="1B7837"/>
            <w:tcMar>
              <w:top w:w="72" w:type="dxa"/>
              <w:left w:w="144" w:type="dxa"/>
              <w:bottom w:w="72" w:type="dxa"/>
              <w:right w:w="144" w:type="dxa"/>
            </w:tcMar>
            <w:vAlign w:val="center"/>
          </w:tcPr>
          <w:p w14:paraId="6853C464" w14:textId="77777777" w:rsidR="00940830" w:rsidRPr="00E82905" w:rsidRDefault="00940830"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All existing buildings retrofitted to operate on zero emission energy</w:t>
            </w:r>
          </w:p>
        </w:tc>
      </w:tr>
      <w:tr w:rsidR="00940830" w:rsidRPr="002F72F9" w14:paraId="25FB6FBB" w14:textId="77777777" w:rsidTr="00940830">
        <w:trPr>
          <w:cantSplit/>
          <w:trHeight w:val="72"/>
        </w:trPr>
        <w:tc>
          <w:tcPr>
            <w:tcW w:w="691" w:type="dxa"/>
            <w:vMerge w:val="restart"/>
            <w:shd w:val="clear" w:color="auto" w:fill="FFC000"/>
            <w:textDirection w:val="btLr"/>
            <w:vAlign w:val="center"/>
          </w:tcPr>
          <w:p w14:paraId="15AEAB4D" w14:textId="77777777" w:rsidR="00940830" w:rsidRPr="00880D89" w:rsidRDefault="00940830" w:rsidP="00635DE7">
            <w:pPr>
              <w:spacing w:after="0" w:line="240" w:lineRule="auto"/>
              <w:ind w:left="113" w:right="113"/>
              <w:jc w:val="center"/>
              <w:rPr>
                <w:rFonts w:ascii="Frutiger LT Std 87 ExtraBlk Cn" w:eastAsia="Times New Roman" w:hAnsi="Frutiger LT Std 87 ExtraBlk Cn" w:cs="Arial"/>
                <w:b/>
                <w:bCs/>
                <w:kern w:val="24"/>
                <w:sz w:val="24"/>
                <w:szCs w:val="26"/>
                <w:lang w:val="en-US" w:eastAsia="en-CA"/>
              </w:rPr>
            </w:pPr>
            <w:r w:rsidRPr="00880D89">
              <w:rPr>
                <w:rFonts w:ascii="Frutiger LT Std 87 ExtraBlk Cn" w:eastAsia="Times New Roman" w:hAnsi="Frutiger LT Std 87 ExtraBlk Cn" w:cs="Arial"/>
                <w:b/>
                <w:bCs/>
                <w:kern w:val="24"/>
                <w:sz w:val="24"/>
                <w:szCs w:val="26"/>
                <w:lang w:val="en-US" w:eastAsia="en-CA"/>
              </w:rPr>
              <w:t>TRANSPORTATION</w:t>
            </w:r>
          </w:p>
        </w:tc>
        <w:tc>
          <w:tcPr>
            <w:tcW w:w="1851" w:type="dxa"/>
            <w:shd w:val="clear" w:color="auto" w:fill="FFFFFF" w:themeFill="background1"/>
            <w:tcMar>
              <w:top w:w="72" w:type="dxa"/>
              <w:left w:w="144" w:type="dxa"/>
              <w:bottom w:w="72" w:type="dxa"/>
              <w:right w:w="144" w:type="dxa"/>
            </w:tcMar>
            <w:vAlign w:val="center"/>
            <w:hideMark/>
          </w:tcPr>
          <w:p w14:paraId="68EE6BBB" w14:textId="77777777" w:rsidR="00940830" w:rsidRPr="0003566A" w:rsidRDefault="00940830"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Mode Share</w:t>
            </w:r>
          </w:p>
        </w:tc>
        <w:tc>
          <w:tcPr>
            <w:tcW w:w="4325" w:type="dxa"/>
            <w:tcBorders>
              <w:right w:val="double" w:sz="4" w:space="0" w:color="ED7D31" w:themeColor="accent2"/>
            </w:tcBorders>
            <w:shd w:val="clear" w:color="auto" w:fill="4393C3"/>
            <w:tcMar>
              <w:top w:w="72" w:type="dxa"/>
              <w:left w:w="144" w:type="dxa"/>
              <w:bottom w:w="72" w:type="dxa"/>
              <w:right w:w="144" w:type="dxa"/>
            </w:tcMar>
            <w:hideMark/>
          </w:tcPr>
          <w:p w14:paraId="1DA7DF12"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Apply transit-oriented development planning</w:t>
            </w:r>
          </w:p>
          <w:p w14:paraId="4C256BDD"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Promote transit, cycling, walking, and tele-working</w:t>
            </w:r>
          </w:p>
          <w:p w14:paraId="52A7CB36"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Support pilot projects and reduce regulatory barriers for new technologies</w:t>
            </w:r>
          </w:p>
        </w:tc>
        <w:tc>
          <w:tcPr>
            <w:tcW w:w="3924"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0A2BACDD"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Increase attractiveness of non-auto modes</w:t>
            </w:r>
          </w:p>
          <w:p w14:paraId="48935062"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Invest in bicycle sharing</w:t>
            </w:r>
          </w:p>
          <w:p w14:paraId="567F9EFC"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Redevelop neighborhoods into “complete” streets</w:t>
            </w:r>
          </w:p>
          <w:p w14:paraId="79030C26"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Redesign goods movement</w:t>
            </w:r>
          </w:p>
        </w:tc>
        <w:tc>
          <w:tcPr>
            <w:tcW w:w="4513" w:type="dxa"/>
            <w:tcBorders>
              <w:left w:val="double" w:sz="4" w:space="0" w:color="ED7D31" w:themeColor="accent2"/>
            </w:tcBorders>
            <w:shd w:val="clear" w:color="auto" w:fill="053061"/>
            <w:tcMar>
              <w:top w:w="72" w:type="dxa"/>
              <w:left w:w="144" w:type="dxa"/>
              <w:bottom w:w="72" w:type="dxa"/>
              <w:right w:w="144" w:type="dxa"/>
            </w:tcMar>
            <w:hideMark/>
          </w:tcPr>
          <w:p w14:paraId="04F60F82" w14:textId="77777777" w:rsidR="00940830" w:rsidRPr="00E82905" w:rsidRDefault="00940830" w:rsidP="00940830">
            <w:pPr>
              <w:numPr>
                <w:ilvl w:val="0"/>
                <w:numId w:val="31"/>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Develop non-auto mode infrastructure</w:t>
            </w:r>
          </w:p>
          <w:p w14:paraId="6EBDB1E2" w14:textId="77777777" w:rsidR="00940830" w:rsidRPr="00E82905" w:rsidRDefault="00940830" w:rsidP="00940830">
            <w:pPr>
              <w:numPr>
                <w:ilvl w:val="0"/>
                <w:numId w:val="31"/>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Implement road use charges for fossil fuel vehicles</w:t>
            </w:r>
          </w:p>
        </w:tc>
        <w:tc>
          <w:tcPr>
            <w:tcW w:w="3729" w:type="dxa"/>
            <w:shd w:val="clear" w:color="auto" w:fill="009077"/>
            <w:tcMar>
              <w:top w:w="72" w:type="dxa"/>
              <w:left w:w="144" w:type="dxa"/>
              <w:bottom w:w="72" w:type="dxa"/>
              <w:right w:w="144" w:type="dxa"/>
            </w:tcMar>
            <w:hideMark/>
          </w:tcPr>
          <w:p w14:paraId="7E5E2C20"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Expand non-auto mode infrastructure to increase coverage and demand</w:t>
            </w:r>
          </w:p>
        </w:tc>
        <w:tc>
          <w:tcPr>
            <w:tcW w:w="2747" w:type="dxa"/>
            <w:shd w:val="clear" w:color="auto" w:fill="1B7837"/>
            <w:tcMar>
              <w:top w:w="72" w:type="dxa"/>
              <w:left w:w="144" w:type="dxa"/>
              <w:bottom w:w="72" w:type="dxa"/>
              <w:right w:w="144" w:type="dxa"/>
            </w:tcMar>
            <w:vAlign w:val="center"/>
          </w:tcPr>
          <w:p w14:paraId="7DCFBFBB" w14:textId="77777777" w:rsidR="00940830" w:rsidRPr="00E82905" w:rsidRDefault="00940830" w:rsidP="00635DE7">
            <w:pPr>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Multi-model transportation network offers people multiple zero emission options</w:t>
            </w:r>
          </w:p>
        </w:tc>
      </w:tr>
      <w:tr w:rsidR="00940830" w:rsidRPr="002F72F9" w14:paraId="39B96824" w14:textId="77777777" w:rsidTr="00940830">
        <w:trPr>
          <w:cantSplit/>
          <w:trHeight w:val="583"/>
        </w:trPr>
        <w:tc>
          <w:tcPr>
            <w:tcW w:w="691" w:type="dxa"/>
            <w:vMerge/>
            <w:shd w:val="clear" w:color="auto" w:fill="FFC000"/>
            <w:vAlign w:val="center"/>
          </w:tcPr>
          <w:p w14:paraId="39FA2A15" w14:textId="77777777" w:rsidR="00940830" w:rsidRPr="002F72F9" w:rsidRDefault="00940830" w:rsidP="00635DE7">
            <w:pPr>
              <w:spacing w:after="0" w:line="240" w:lineRule="auto"/>
              <w:jc w:val="center"/>
              <w:rPr>
                <w:rFonts w:ascii="Frutiger LT Std 57 Cn" w:eastAsia="Times New Roman" w:hAnsi="Frutiger LT Std 57 Cn" w:cs="Arial"/>
                <w:b/>
                <w:bCs/>
                <w:kern w:val="24"/>
                <w:lang w:val="en-US" w:eastAsia="en-CA"/>
              </w:rPr>
            </w:pPr>
          </w:p>
        </w:tc>
        <w:tc>
          <w:tcPr>
            <w:tcW w:w="1851" w:type="dxa"/>
            <w:shd w:val="clear" w:color="auto" w:fill="FFFFFF" w:themeFill="background1"/>
            <w:tcMar>
              <w:top w:w="72" w:type="dxa"/>
              <w:left w:w="144" w:type="dxa"/>
              <w:bottom w:w="72" w:type="dxa"/>
              <w:right w:w="144" w:type="dxa"/>
            </w:tcMar>
            <w:vAlign w:val="center"/>
            <w:hideMark/>
          </w:tcPr>
          <w:p w14:paraId="4D2D369A" w14:textId="77777777" w:rsidR="00940830" w:rsidRPr="0003566A" w:rsidRDefault="00940830" w:rsidP="00635DE7">
            <w:pPr>
              <w:spacing w:after="0" w:line="240" w:lineRule="auto"/>
              <w:jc w:val="center"/>
              <w:rPr>
                <w:rFonts w:ascii="Frutiger LT Std 57 Cn" w:eastAsia="Times New Roman" w:hAnsi="Frutiger LT Std 57 Cn" w:cs="Arial"/>
                <w:b/>
                <w:szCs w:val="36"/>
                <w:lang w:eastAsia="en-CA"/>
              </w:rPr>
            </w:pPr>
            <w:r w:rsidRPr="0003566A">
              <w:rPr>
                <w:rFonts w:ascii="Frutiger LT Std 57 Cn" w:eastAsia="Times New Roman" w:hAnsi="Frutiger LT Std 57 Cn" w:cs="Arial"/>
                <w:b/>
                <w:bCs/>
                <w:kern w:val="24"/>
                <w:lang w:val="en-US" w:eastAsia="en-CA"/>
              </w:rPr>
              <w:t>Zero Emission Vehicles and Fuels</w:t>
            </w:r>
          </w:p>
        </w:tc>
        <w:tc>
          <w:tcPr>
            <w:tcW w:w="4325" w:type="dxa"/>
            <w:tcBorders>
              <w:right w:val="double" w:sz="4" w:space="0" w:color="ED7D31" w:themeColor="accent2"/>
            </w:tcBorders>
            <w:shd w:val="clear" w:color="auto" w:fill="4393C3"/>
            <w:tcMar>
              <w:top w:w="72" w:type="dxa"/>
              <w:left w:w="144" w:type="dxa"/>
              <w:bottom w:w="72" w:type="dxa"/>
              <w:right w:w="144" w:type="dxa"/>
            </w:tcMar>
            <w:hideMark/>
          </w:tcPr>
          <w:p w14:paraId="5A949D04"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Coordinate bulk buy programs</w:t>
            </w:r>
          </w:p>
          <w:p w14:paraId="125891F3"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Convert fleets to low- and zero-emission vehicles</w:t>
            </w:r>
          </w:p>
          <w:p w14:paraId="6AE3D58A"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Encourage adoption of low- and zero-emission vehicles (ZEVs)</w:t>
            </w:r>
          </w:p>
        </w:tc>
        <w:tc>
          <w:tcPr>
            <w:tcW w:w="3924" w:type="dxa"/>
            <w:tcBorders>
              <w:top w:val="double" w:sz="4" w:space="0" w:color="ED7D31" w:themeColor="accent2"/>
              <w:left w:val="double" w:sz="4" w:space="0" w:color="ED7D31" w:themeColor="accent2"/>
              <w:bottom w:val="double" w:sz="4" w:space="0" w:color="ED7D31" w:themeColor="accent2"/>
              <w:right w:val="double" w:sz="4" w:space="0" w:color="ED7D31" w:themeColor="accent2"/>
            </w:tcBorders>
            <w:shd w:val="clear" w:color="auto" w:fill="2166AC"/>
            <w:tcMar>
              <w:top w:w="72" w:type="dxa"/>
              <w:left w:w="144" w:type="dxa"/>
              <w:bottom w:w="72" w:type="dxa"/>
              <w:right w:w="144" w:type="dxa"/>
            </w:tcMar>
            <w:hideMark/>
          </w:tcPr>
          <w:p w14:paraId="41840D2A"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Develop partnerships for ZEV car share</w:t>
            </w:r>
          </w:p>
          <w:p w14:paraId="01F9CBD2"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Develop partnerships for electric vehicle infrastructure</w:t>
            </w:r>
          </w:p>
          <w:p w14:paraId="670CD64F"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Support shift from trucks to rail</w:t>
            </w:r>
          </w:p>
          <w:p w14:paraId="7286762E"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Lobby state government to mandate ZEV sales</w:t>
            </w:r>
          </w:p>
        </w:tc>
        <w:tc>
          <w:tcPr>
            <w:tcW w:w="4513" w:type="dxa"/>
            <w:tcBorders>
              <w:left w:val="double" w:sz="4" w:space="0" w:color="ED7D31" w:themeColor="accent2"/>
            </w:tcBorders>
            <w:shd w:val="clear" w:color="auto" w:fill="053061"/>
            <w:tcMar>
              <w:top w:w="72" w:type="dxa"/>
              <w:left w:w="144" w:type="dxa"/>
              <w:bottom w:w="72" w:type="dxa"/>
              <w:right w:w="144" w:type="dxa"/>
            </w:tcMar>
            <w:hideMark/>
          </w:tcPr>
          <w:p w14:paraId="2B70BF9E" w14:textId="77777777" w:rsidR="00940830" w:rsidRPr="00E82905" w:rsidRDefault="00940830" w:rsidP="00940830">
            <w:pPr>
              <w:numPr>
                <w:ilvl w:val="0"/>
                <w:numId w:val="32"/>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Install electric vehicle (EV) charging infrastructure in high priority locations</w:t>
            </w:r>
          </w:p>
          <w:p w14:paraId="1F73E272" w14:textId="77777777" w:rsidR="00940830" w:rsidRPr="00E82905" w:rsidRDefault="00940830" w:rsidP="00940830">
            <w:pPr>
              <w:numPr>
                <w:ilvl w:val="0"/>
                <w:numId w:val="32"/>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Require EV charging infrastructure capabilities in buildings and parking lots</w:t>
            </w:r>
          </w:p>
          <w:p w14:paraId="3BC30548" w14:textId="77777777" w:rsidR="00940830" w:rsidRPr="00E82905" w:rsidRDefault="00940830" w:rsidP="00940830">
            <w:pPr>
              <w:numPr>
                <w:ilvl w:val="0"/>
                <w:numId w:val="32"/>
              </w:numPr>
              <w:spacing w:after="0" w:line="240" w:lineRule="auto"/>
              <w:ind w:left="189" w:hanging="199"/>
              <w:contextualSpacing/>
              <w:rPr>
                <w:rFonts w:ascii="Frutiger LT Std 57 Cn" w:eastAsia="Times New Roman" w:hAnsi="Frutiger LT Std 57 Cn" w:cs="Arial"/>
                <w:sz w:val="19"/>
                <w:szCs w:val="19"/>
                <w:lang w:eastAsia="en-CA"/>
              </w:rPr>
            </w:pPr>
            <w:r w:rsidRPr="00E82905">
              <w:rPr>
                <w:rFonts w:ascii="Frutiger LT Std 57 Cn" w:eastAsia="Times New Roman" w:hAnsi="Frutiger LT Std 57 Cn" w:cs="Arial"/>
                <w:bCs/>
                <w:color w:val="FFFFFF"/>
                <w:kern w:val="24"/>
                <w:sz w:val="19"/>
                <w:szCs w:val="19"/>
                <w:lang w:val="en-US" w:eastAsia="en-CA"/>
              </w:rPr>
              <w:t>Incentivize ZEV ownership</w:t>
            </w:r>
          </w:p>
        </w:tc>
        <w:tc>
          <w:tcPr>
            <w:tcW w:w="3729" w:type="dxa"/>
            <w:shd w:val="clear" w:color="auto" w:fill="009077"/>
            <w:tcMar>
              <w:top w:w="72" w:type="dxa"/>
              <w:left w:w="144" w:type="dxa"/>
              <w:bottom w:w="72" w:type="dxa"/>
              <w:right w:w="144" w:type="dxa"/>
            </w:tcMar>
            <w:hideMark/>
          </w:tcPr>
          <w:p w14:paraId="43AE7B24"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Require vehicle charging stations in buildings and parking lots</w:t>
            </w:r>
          </w:p>
          <w:p w14:paraId="17B6E1B5"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Adjust ZEV incentives based on costs and market adoption</w:t>
            </w:r>
          </w:p>
          <w:p w14:paraId="5DFD971F" w14:textId="77777777" w:rsidR="00940830" w:rsidRPr="00E82905" w:rsidRDefault="00940830" w:rsidP="00940830">
            <w:pPr>
              <w:numPr>
                <w:ilvl w:val="0"/>
                <w:numId w:val="29"/>
              </w:numPr>
              <w:spacing w:after="0" w:line="240" w:lineRule="auto"/>
              <w:ind w:left="189" w:hanging="199"/>
              <w:contextualSpacing/>
              <w:rPr>
                <w:rFonts w:ascii="Frutiger LT Std 57 Cn" w:eastAsia="Times New Roman" w:hAnsi="Frutiger LT Std 57 Cn" w:cs="Arial"/>
                <w:bCs/>
                <w:color w:val="FFFFFF"/>
                <w:kern w:val="24"/>
                <w:sz w:val="19"/>
                <w:szCs w:val="19"/>
                <w:lang w:val="en-US" w:eastAsia="en-CA"/>
              </w:rPr>
            </w:pPr>
            <w:r w:rsidRPr="00E82905">
              <w:rPr>
                <w:rFonts w:ascii="Frutiger LT Std 57 Cn" w:eastAsia="Times New Roman" w:hAnsi="Frutiger LT Std 57 Cn" w:cs="Arial"/>
                <w:bCs/>
                <w:color w:val="FFFFFF"/>
                <w:kern w:val="24"/>
                <w:sz w:val="19"/>
                <w:szCs w:val="19"/>
                <w:lang w:val="en-US" w:eastAsia="en-CA"/>
              </w:rPr>
              <w:t>Disincentivized fossil fuel vehicle ownership</w:t>
            </w:r>
          </w:p>
        </w:tc>
        <w:tc>
          <w:tcPr>
            <w:tcW w:w="2747" w:type="dxa"/>
            <w:shd w:val="clear" w:color="auto" w:fill="1B7837"/>
            <w:tcMar>
              <w:top w:w="72" w:type="dxa"/>
              <w:left w:w="144" w:type="dxa"/>
              <w:bottom w:w="72" w:type="dxa"/>
              <w:right w:w="144" w:type="dxa"/>
            </w:tcMar>
            <w:vAlign w:val="center"/>
          </w:tcPr>
          <w:p w14:paraId="649B6D35" w14:textId="77777777" w:rsidR="00940830" w:rsidRPr="00E82905" w:rsidRDefault="00940830" w:rsidP="00635DE7">
            <w:pPr>
              <w:keepNext/>
              <w:spacing w:after="0" w:line="240" w:lineRule="auto"/>
              <w:ind w:left="-10"/>
              <w:contextualSpacing/>
              <w:jc w:val="center"/>
              <w:rPr>
                <w:rFonts w:ascii="Frutiger LT Std 57 Cn" w:eastAsia="Times New Roman" w:hAnsi="Frutiger LT Std 57 Cn" w:cs="Arial"/>
                <w:bCs/>
                <w:color w:val="FFFFFF"/>
                <w:kern w:val="24"/>
                <w:sz w:val="20"/>
                <w:szCs w:val="16"/>
                <w:lang w:val="en-US" w:eastAsia="en-CA"/>
              </w:rPr>
            </w:pPr>
            <w:r w:rsidRPr="00E82905">
              <w:rPr>
                <w:rFonts w:ascii="Frutiger LT Std 57 Cn" w:eastAsia="Times New Roman" w:hAnsi="Frutiger LT Std 57 Cn" w:cs="Arial"/>
                <w:bCs/>
                <w:color w:val="FFFFFF"/>
                <w:kern w:val="24"/>
                <w:sz w:val="20"/>
                <w:szCs w:val="16"/>
                <w:lang w:val="en-US" w:eastAsia="en-CA"/>
              </w:rPr>
              <w:t>All vehicles run on zero emission fuels</w:t>
            </w:r>
          </w:p>
        </w:tc>
      </w:tr>
    </w:tbl>
    <w:p w14:paraId="6884D178" w14:textId="61E9D5AF" w:rsidR="001D7220" w:rsidRDefault="001D7220" w:rsidP="00940830">
      <w:pPr>
        <w:pStyle w:val="Caption"/>
      </w:pPr>
      <w:bookmarkStart w:id="8" w:name="_Ref459816795"/>
      <w:r w:rsidRPr="003E1657">
        <w:t xml:space="preserve">Figure </w:t>
      </w:r>
      <w:r w:rsidRPr="00B74ED0">
        <w:fldChar w:fldCharType="begin"/>
      </w:r>
      <w:r w:rsidRPr="00B74ED0">
        <w:instrText xml:space="preserve"> SEQ Figure \* ARABIC </w:instrText>
      </w:r>
      <w:r w:rsidRPr="00940830">
        <w:fldChar w:fldCharType="separate"/>
      </w:r>
      <w:r w:rsidR="00394D4A">
        <w:rPr>
          <w:noProof/>
        </w:rPr>
        <w:t>2</w:t>
      </w:r>
      <w:r w:rsidRPr="00940830">
        <w:fldChar w:fldCharType="end"/>
      </w:r>
      <w:bookmarkEnd w:id="8"/>
      <w:r w:rsidRPr="00B74ED0">
        <w:t xml:space="preserve"> </w:t>
      </w:r>
      <w:r w:rsidR="00633891" w:rsidRPr="00B74ED0">
        <w:t>Minneapolis</w:t>
      </w:r>
      <w:r w:rsidRPr="00B74ED0">
        <w:t>’s level of control for each urban system component according to the Playbook’s sphere of influence mapping tool.</w:t>
      </w:r>
    </w:p>
    <w:p w14:paraId="1171A733" w14:textId="77777777" w:rsidR="00940830" w:rsidRDefault="00940830">
      <w:pPr>
        <w:sectPr w:rsidR="00940830" w:rsidSect="008A47E8">
          <w:pgSz w:w="24483" w:h="15842" w:orient="landscape" w:code="119"/>
          <w:pgMar w:top="1361" w:right="1361" w:bottom="1361" w:left="1361" w:header="709" w:footer="709" w:gutter="0"/>
          <w:cols w:space="708"/>
          <w:titlePg/>
          <w:docGrid w:linePitch="360"/>
        </w:sectPr>
      </w:pPr>
    </w:p>
    <w:p w14:paraId="057AD0FF" w14:textId="6A44FEBF" w:rsidR="00AF732F" w:rsidRPr="00B67C60" w:rsidRDefault="00F2279B" w:rsidP="00394C10">
      <w:pPr>
        <w:pStyle w:val="Heading1"/>
      </w:pPr>
      <w:bookmarkStart w:id="9" w:name="_Toc460348775"/>
      <w:r>
        <w:t xml:space="preserve">Neighborhood </w:t>
      </w:r>
      <w:r w:rsidR="00AF732F" w:rsidRPr="00B67C60">
        <w:t xml:space="preserve">| </w:t>
      </w:r>
      <w:r>
        <w:t>Lower North Loop</w:t>
      </w:r>
      <w:bookmarkEnd w:id="9"/>
    </w:p>
    <w:p w14:paraId="53B082CE" w14:textId="5E52AC1A" w:rsidR="00AF732F" w:rsidRPr="00B67C60" w:rsidRDefault="00BC18AC" w:rsidP="00AF732F">
      <w:pPr>
        <w:spacing w:after="0" w:line="276" w:lineRule="auto"/>
        <w:jc w:val="both"/>
        <w:rPr>
          <w:rFonts w:ascii="Arial Narrow" w:hAnsi="Arial Narrow"/>
          <w:sz w:val="24"/>
          <w:szCs w:val="24"/>
        </w:rPr>
      </w:pPr>
      <w:r>
        <w:rPr>
          <w:rFonts w:ascii="Arial Narrow" w:hAnsi="Arial Narrow"/>
          <w:sz w:val="24"/>
          <w:szCs w:val="24"/>
        </w:rPr>
        <w:t>Althoug</w:t>
      </w:r>
      <w:r w:rsidR="00BF7587">
        <w:rPr>
          <w:rFonts w:ascii="Arial Narrow" w:hAnsi="Arial Narrow"/>
          <w:sz w:val="24"/>
          <w:szCs w:val="24"/>
        </w:rPr>
        <w:t>h</w:t>
      </w:r>
      <w:r>
        <w:rPr>
          <w:rFonts w:ascii="Arial Narrow" w:hAnsi="Arial Narrow"/>
          <w:sz w:val="24"/>
          <w:szCs w:val="24"/>
        </w:rPr>
        <w:t xml:space="preserve"> this </w:t>
      </w:r>
      <w:r w:rsidR="00E33433">
        <w:rPr>
          <w:rFonts w:ascii="Arial Narrow" w:hAnsi="Arial Narrow"/>
          <w:sz w:val="24"/>
          <w:szCs w:val="24"/>
        </w:rPr>
        <w:t xml:space="preserve">Strategy’s </w:t>
      </w:r>
      <w:r>
        <w:rPr>
          <w:rFonts w:ascii="Arial Narrow" w:hAnsi="Arial Narrow"/>
          <w:sz w:val="24"/>
          <w:szCs w:val="24"/>
        </w:rPr>
        <w:t>framework is</w:t>
      </w:r>
      <w:r w:rsidR="001310A4">
        <w:rPr>
          <w:rFonts w:ascii="Arial Narrow" w:hAnsi="Arial Narrow"/>
          <w:sz w:val="24"/>
          <w:szCs w:val="24"/>
        </w:rPr>
        <w:t xml:space="preserve"> intended for a</w:t>
      </w:r>
      <w:r>
        <w:rPr>
          <w:rFonts w:ascii="Arial Narrow" w:hAnsi="Arial Narrow"/>
          <w:sz w:val="24"/>
          <w:szCs w:val="24"/>
        </w:rPr>
        <w:t xml:space="preserve"> variety of contexts within Minneapolis, t</w:t>
      </w:r>
      <w:r w:rsidR="00AF732F" w:rsidRPr="00B67C60">
        <w:rPr>
          <w:rFonts w:ascii="Arial Narrow" w:hAnsi="Arial Narrow"/>
          <w:sz w:val="24"/>
          <w:szCs w:val="24"/>
        </w:rPr>
        <w:t xml:space="preserve">he focus of preliminary efforts in </w:t>
      </w:r>
      <w:r w:rsidR="00A3265F">
        <w:rPr>
          <w:rFonts w:ascii="Arial Narrow" w:hAnsi="Arial Narrow"/>
          <w:sz w:val="24"/>
          <w:szCs w:val="24"/>
        </w:rPr>
        <w:t>transform</w:t>
      </w:r>
      <w:r w:rsidR="00AF732F" w:rsidRPr="00B67C60">
        <w:rPr>
          <w:rFonts w:ascii="Arial Narrow" w:hAnsi="Arial Narrow"/>
          <w:sz w:val="24"/>
          <w:szCs w:val="24"/>
        </w:rPr>
        <w:t xml:space="preserve">ing the city towards zero carbon is the </w:t>
      </w:r>
      <w:r w:rsidR="001A161D">
        <w:rPr>
          <w:rFonts w:ascii="Arial Narrow" w:hAnsi="Arial Narrow"/>
          <w:sz w:val="24"/>
          <w:szCs w:val="24"/>
        </w:rPr>
        <w:t xml:space="preserve">lower portion of the North Loop </w:t>
      </w:r>
      <w:r w:rsidR="00AF732F" w:rsidRPr="00B67C60">
        <w:rPr>
          <w:rFonts w:ascii="Arial Narrow" w:hAnsi="Arial Narrow"/>
          <w:sz w:val="24"/>
          <w:szCs w:val="24"/>
        </w:rPr>
        <w:t>neighborhood, located north of Highway I-394, and bordered by Highway I-94 to the west and by North 4</w:t>
      </w:r>
      <w:r w:rsidR="00AF732F" w:rsidRPr="00B67C60">
        <w:rPr>
          <w:rFonts w:ascii="Arial Narrow" w:hAnsi="Arial Narrow"/>
          <w:sz w:val="24"/>
          <w:szCs w:val="24"/>
          <w:vertAlign w:val="superscript"/>
        </w:rPr>
        <w:t>th</w:t>
      </w:r>
      <w:r w:rsidR="00AF732F" w:rsidRPr="00B67C60">
        <w:rPr>
          <w:rFonts w:ascii="Arial Narrow" w:hAnsi="Arial Narrow"/>
          <w:sz w:val="24"/>
          <w:szCs w:val="24"/>
        </w:rPr>
        <w:t xml:space="preserve"> Street to the east</w:t>
      </w:r>
      <w:r w:rsidR="00B67C60">
        <w:rPr>
          <w:rFonts w:ascii="Arial Narrow" w:hAnsi="Arial Narrow"/>
          <w:sz w:val="24"/>
          <w:szCs w:val="24"/>
        </w:rPr>
        <w:t xml:space="preserve"> (Figure 1)</w:t>
      </w:r>
      <w:r w:rsidR="00AF732F" w:rsidRPr="00B67C60">
        <w:rPr>
          <w:rFonts w:ascii="Arial Narrow" w:hAnsi="Arial Narrow"/>
          <w:sz w:val="24"/>
          <w:szCs w:val="24"/>
        </w:rPr>
        <w:t xml:space="preserve">. Under the transect framework, the current state of the neighborhood can be qualified as a </w:t>
      </w:r>
      <w:r w:rsidR="00B75622">
        <w:rPr>
          <w:rFonts w:ascii="Arial Narrow" w:hAnsi="Arial Narrow"/>
          <w:sz w:val="24"/>
          <w:szCs w:val="24"/>
        </w:rPr>
        <w:t>“</w:t>
      </w:r>
      <w:r w:rsidR="00AF732F" w:rsidRPr="00B67C60">
        <w:rPr>
          <w:rFonts w:ascii="Arial Narrow" w:hAnsi="Arial Narrow"/>
          <w:sz w:val="24"/>
          <w:szCs w:val="24"/>
        </w:rPr>
        <w:t>Special District</w:t>
      </w:r>
      <w:r w:rsidR="00B75622">
        <w:rPr>
          <w:rFonts w:ascii="Arial Narrow" w:hAnsi="Arial Narrow"/>
          <w:sz w:val="24"/>
          <w:szCs w:val="24"/>
        </w:rPr>
        <w:t>”</w:t>
      </w:r>
      <w:r w:rsidR="00AF732F" w:rsidRPr="00B67C60">
        <w:rPr>
          <w:rFonts w:ascii="Arial Narrow" w:hAnsi="Arial Narrow"/>
          <w:sz w:val="24"/>
          <w:szCs w:val="24"/>
        </w:rPr>
        <w:t xml:space="preserve">, in that its industrial character does not conform to the characteristics outlined in any of the Transect Zones. However, the long term vision for </w:t>
      </w:r>
      <w:r w:rsidR="001A161D">
        <w:rPr>
          <w:rFonts w:ascii="Arial Narrow" w:hAnsi="Arial Narrow"/>
          <w:sz w:val="24"/>
          <w:szCs w:val="24"/>
        </w:rPr>
        <w:t>Lower North</w:t>
      </w:r>
      <w:r w:rsidR="001A161D" w:rsidRPr="00B67C60">
        <w:rPr>
          <w:rFonts w:ascii="Arial Narrow" w:hAnsi="Arial Narrow"/>
          <w:sz w:val="24"/>
          <w:szCs w:val="24"/>
        </w:rPr>
        <w:t xml:space="preserve"> </w:t>
      </w:r>
      <w:r w:rsidR="00AF732F" w:rsidRPr="00B67C60">
        <w:rPr>
          <w:rFonts w:ascii="Arial Narrow" w:hAnsi="Arial Narrow"/>
          <w:sz w:val="24"/>
          <w:szCs w:val="24"/>
        </w:rPr>
        <w:t xml:space="preserve">Loop’s redevelopment aligns closer with that of a T-5 Urban Center Zone, given the proposed mix of mid- and high-rise development, despite remaining outside of Minneapolis’ downtown core. Further, the proposed </w:t>
      </w:r>
      <w:r w:rsidR="001A161D">
        <w:rPr>
          <w:rFonts w:ascii="Arial Narrow" w:hAnsi="Arial Narrow"/>
          <w:sz w:val="24"/>
          <w:szCs w:val="24"/>
        </w:rPr>
        <w:t>increase in</w:t>
      </w:r>
      <w:r w:rsidR="00AF732F" w:rsidRPr="00B67C60">
        <w:rPr>
          <w:rFonts w:ascii="Arial Narrow" w:hAnsi="Arial Narrow"/>
          <w:sz w:val="24"/>
          <w:szCs w:val="24"/>
        </w:rPr>
        <w:t xml:space="preserve"> residential land use supports the transition of </w:t>
      </w:r>
      <w:r w:rsidR="001A161D">
        <w:rPr>
          <w:rFonts w:ascii="Arial Narrow" w:hAnsi="Arial Narrow"/>
          <w:sz w:val="24"/>
          <w:szCs w:val="24"/>
        </w:rPr>
        <w:t>Lower North</w:t>
      </w:r>
      <w:r w:rsidR="001A161D" w:rsidRPr="00B67C60">
        <w:rPr>
          <w:rFonts w:ascii="Arial Narrow" w:hAnsi="Arial Narrow"/>
          <w:sz w:val="24"/>
          <w:szCs w:val="24"/>
        </w:rPr>
        <w:t xml:space="preserve"> </w:t>
      </w:r>
      <w:r w:rsidR="00AF732F" w:rsidRPr="00B67C60">
        <w:rPr>
          <w:rFonts w:ascii="Arial Narrow" w:hAnsi="Arial Narrow"/>
          <w:sz w:val="24"/>
          <w:szCs w:val="24"/>
        </w:rPr>
        <w:t xml:space="preserve">Loop from a primarily light industrial area to a </w:t>
      </w:r>
      <w:r w:rsidR="001A161D">
        <w:rPr>
          <w:rFonts w:ascii="Arial Narrow" w:hAnsi="Arial Narrow"/>
          <w:sz w:val="24"/>
          <w:szCs w:val="24"/>
        </w:rPr>
        <w:t xml:space="preserve">highly diverse </w:t>
      </w:r>
      <w:r w:rsidR="00AF732F" w:rsidRPr="00B67C60">
        <w:rPr>
          <w:rFonts w:ascii="Arial Narrow" w:hAnsi="Arial Narrow"/>
          <w:sz w:val="24"/>
          <w:szCs w:val="24"/>
        </w:rPr>
        <w:t xml:space="preserve">neighborhood with </w:t>
      </w:r>
      <w:r w:rsidR="001A161D">
        <w:rPr>
          <w:rFonts w:ascii="Arial Narrow" w:hAnsi="Arial Narrow"/>
          <w:sz w:val="24"/>
          <w:szCs w:val="24"/>
        </w:rPr>
        <w:t xml:space="preserve">some </w:t>
      </w:r>
      <w:r w:rsidR="00AF732F" w:rsidRPr="00B67C60">
        <w:rPr>
          <w:rFonts w:ascii="Arial Narrow" w:hAnsi="Arial Narrow"/>
          <w:sz w:val="24"/>
          <w:szCs w:val="24"/>
        </w:rPr>
        <w:t>full</w:t>
      </w:r>
      <w:r w:rsidR="0058185B">
        <w:rPr>
          <w:rFonts w:ascii="Arial Narrow" w:hAnsi="Arial Narrow"/>
          <w:sz w:val="24"/>
          <w:szCs w:val="24"/>
        </w:rPr>
        <w:t>-</w:t>
      </w:r>
      <w:r w:rsidR="00AF732F" w:rsidRPr="00B67C60">
        <w:rPr>
          <w:rFonts w:ascii="Arial Narrow" w:hAnsi="Arial Narrow"/>
          <w:sz w:val="24"/>
          <w:szCs w:val="24"/>
        </w:rPr>
        <w:t xml:space="preserve">time residents. The proposed improvements to the urban street grid, pedestrian and cycling network, green infrastructure, and diversity of housing, office and retail, all support the evolution of </w:t>
      </w:r>
      <w:r w:rsidR="001A161D">
        <w:rPr>
          <w:rFonts w:ascii="Arial Narrow" w:hAnsi="Arial Narrow"/>
          <w:sz w:val="24"/>
          <w:szCs w:val="24"/>
        </w:rPr>
        <w:t>Lower North</w:t>
      </w:r>
      <w:r w:rsidR="001A161D" w:rsidRPr="00B67C60">
        <w:rPr>
          <w:rFonts w:ascii="Arial Narrow" w:hAnsi="Arial Narrow"/>
          <w:sz w:val="24"/>
          <w:szCs w:val="24"/>
        </w:rPr>
        <w:t xml:space="preserve"> </w:t>
      </w:r>
      <w:r w:rsidR="00AF732F" w:rsidRPr="00B67C60">
        <w:rPr>
          <w:rFonts w:ascii="Arial Narrow" w:hAnsi="Arial Narrow"/>
          <w:sz w:val="24"/>
          <w:szCs w:val="24"/>
        </w:rPr>
        <w:t xml:space="preserve">Loop as an Urban Center. </w:t>
      </w:r>
    </w:p>
    <w:p w14:paraId="752E01CC" w14:textId="77777777" w:rsidR="00E529BC" w:rsidRDefault="00E529BC" w:rsidP="00394C10">
      <w:pPr>
        <w:keepNext/>
        <w:spacing w:before="240" w:after="200" w:line="240" w:lineRule="auto"/>
        <w:rPr>
          <w:rFonts w:ascii="Arial Narrow" w:eastAsia="MS Mincho" w:hAnsi="Arial Narrow"/>
          <w:i/>
          <w:iCs/>
        </w:rPr>
      </w:pPr>
      <w:r w:rsidRPr="003B1F11">
        <w:rPr>
          <w:rFonts w:ascii="Arial Narrow" w:hAnsi="Arial Narrow"/>
          <w:b/>
          <w:noProof/>
          <w:lang w:eastAsia="en-CA"/>
        </w:rPr>
        <w:drawing>
          <wp:inline distT="0" distB="0" distL="0" distR="0" wp14:anchorId="6C5F586E" wp14:editId="20D06135">
            <wp:extent cx="4887310" cy="2735323"/>
            <wp:effectExtent l="0" t="0" r="889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inneapolis Map test.jpg"/>
                    <pic:cNvPicPr/>
                  </pic:nvPicPr>
                  <pic:blipFill rotWithShape="1">
                    <a:blip r:embed="rId12" cstate="print">
                      <a:extLst>
                        <a:ext uri="{28A0092B-C50C-407E-A947-70E740481C1C}">
                          <a14:useLocalDpi xmlns:a14="http://schemas.microsoft.com/office/drawing/2010/main" val="0"/>
                        </a:ext>
                      </a:extLst>
                    </a:blip>
                    <a:srcRect l="11034" t="21415" r="11173" b="22243"/>
                    <a:stretch/>
                  </pic:blipFill>
                  <pic:spPr bwMode="auto">
                    <a:xfrm>
                      <a:off x="0" y="0"/>
                      <a:ext cx="4910367" cy="2748228"/>
                    </a:xfrm>
                    <a:prstGeom prst="rect">
                      <a:avLst/>
                    </a:prstGeom>
                    <a:ln>
                      <a:noFill/>
                    </a:ln>
                    <a:extLst>
                      <a:ext uri="{53640926-AAD7-44D8-BBD7-CCE9431645EC}">
                        <a14:shadowObscured xmlns:a14="http://schemas.microsoft.com/office/drawing/2010/main"/>
                      </a:ext>
                    </a:extLst>
                  </pic:spPr>
                </pic:pic>
              </a:graphicData>
            </a:graphic>
          </wp:inline>
        </w:drawing>
      </w:r>
    </w:p>
    <w:p w14:paraId="3596ED35" w14:textId="0107DD42" w:rsidR="00AF732F" w:rsidRPr="00B75622" w:rsidRDefault="00B75622" w:rsidP="00394C10">
      <w:pPr>
        <w:keepNext/>
        <w:spacing w:before="240" w:after="200" w:line="240" w:lineRule="auto"/>
        <w:rPr>
          <w:rFonts w:ascii="Arial Narrow" w:eastAsia="MS Mincho" w:hAnsi="Arial Narrow"/>
          <w:i/>
          <w:iCs/>
        </w:rPr>
      </w:pPr>
      <w:r w:rsidRPr="00433B24">
        <w:rPr>
          <w:rFonts w:ascii="Arial Narrow" w:eastAsia="MS Mincho" w:hAnsi="Arial Narrow"/>
          <w:i/>
          <w:iCs/>
        </w:rPr>
        <w:t xml:space="preserve">Figure </w:t>
      </w:r>
      <w:r w:rsidRPr="00433B24">
        <w:rPr>
          <w:rFonts w:ascii="Arial Narrow" w:eastAsia="MS Mincho" w:hAnsi="Arial Narrow"/>
          <w:i/>
          <w:iCs/>
        </w:rPr>
        <w:fldChar w:fldCharType="begin"/>
      </w:r>
      <w:r w:rsidRPr="00433B24">
        <w:rPr>
          <w:rFonts w:ascii="Arial Narrow" w:eastAsia="MS Mincho" w:hAnsi="Arial Narrow"/>
          <w:i/>
          <w:iCs/>
        </w:rPr>
        <w:instrText xml:space="preserve"> SEQ Figure \* ARABIC </w:instrText>
      </w:r>
      <w:r w:rsidRPr="00433B24">
        <w:rPr>
          <w:rFonts w:ascii="Arial Narrow" w:eastAsia="MS Mincho" w:hAnsi="Arial Narrow"/>
          <w:i/>
          <w:iCs/>
        </w:rPr>
        <w:fldChar w:fldCharType="separate"/>
      </w:r>
      <w:r w:rsidR="00394D4A">
        <w:rPr>
          <w:rFonts w:ascii="Arial Narrow" w:eastAsia="MS Mincho" w:hAnsi="Arial Narrow"/>
          <w:i/>
          <w:iCs/>
          <w:noProof/>
        </w:rPr>
        <w:t>3</w:t>
      </w:r>
      <w:r w:rsidRPr="00433B24">
        <w:rPr>
          <w:rFonts w:ascii="Arial Narrow" w:eastAsia="MS Mincho" w:hAnsi="Arial Narrow"/>
          <w:i/>
          <w:iCs/>
        </w:rPr>
        <w:fldChar w:fldCharType="end"/>
      </w:r>
      <w:r w:rsidRPr="00433B24">
        <w:rPr>
          <w:rFonts w:ascii="Arial Narrow" w:eastAsia="MS Mincho" w:hAnsi="Arial Narrow"/>
          <w:i/>
          <w:iCs/>
        </w:rPr>
        <w:t xml:space="preserve"> Map of </w:t>
      </w:r>
      <w:r w:rsidR="0058185B">
        <w:rPr>
          <w:rFonts w:ascii="Arial Narrow" w:eastAsia="MS Mincho" w:hAnsi="Arial Narrow"/>
          <w:i/>
          <w:iCs/>
        </w:rPr>
        <w:t xml:space="preserve">Lower North </w:t>
      </w:r>
      <w:r w:rsidRPr="00433B24">
        <w:rPr>
          <w:rFonts w:ascii="Arial Narrow" w:eastAsia="MS Mincho" w:hAnsi="Arial Narrow"/>
          <w:i/>
          <w:iCs/>
        </w:rPr>
        <w:t>Loop neighborhood in Minneapolis, Minnesota.</w:t>
      </w:r>
    </w:p>
    <w:p w14:paraId="3EA16FEA" w14:textId="59C5D3A2" w:rsidR="00B75622" w:rsidRDefault="00B75622" w:rsidP="00B75622">
      <w:pPr>
        <w:spacing w:after="0" w:line="276" w:lineRule="auto"/>
        <w:jc w:val="center"/>
        <w:rPr>
          <w:rFonts w:ascii="Arial Narrow" w:hAnsi="Arial Narrow"/>
          <w:sz w:val="24"/>
          <w:szCs w:val="24"/>
        </w:rPr>
      </w:pPr>
    </w:p>
    <w:p w14:paraId="7F8B422C" w14:textId="2A0E90DF" w:rsidR="00AF732F" w:rsidRPr="00B67C60" w:rsidRDefault="00AF732F" w:rsidP="00AF732F">
      <w:pPr>
        <w:spacing w:after="0" w:line="276" w:lineRule="auto"/>
        <w:jc w:val="both"/>
        <w:rPr>
          <w:rFonts w:ascii="Arial Narrow" w:hAnsi="Arial Narrow"/>
          <w:sz w:val="24"/>
          <w:szCs w:val="24"/>
        </w:rPr>
      </w:pPr>
      <w:r w:rsidRPr="00B67C60">
        <w:rPr>
          <w:rFonts w:ascii="Arial Narrow" w:hAnsi="Arial Narrow"/>
          <w:sz w:val="24"/>
          <w:szCs w:val="24"/>
        </w:rPr>
        <w:t>The plans for this future neighborhood are centered on the continued development of the existing farmer’s marke</w:t>
      </w:r>
      <w:r w:rsidR="00B75622">
        <w:rPr>
          <w:rFonts w:ascii="Arial Narrow" w:hAnsi="Arial Narrow"/>
          <w:sz w:val="24"/>
          <w:szCs w:val="24"/>
        </w:rPr>
        <w:t xml:space="preserve">t and the </w:t>
      </w:r>
      <w:r w:rsidRPr="00B67C60">
        <w:rPr>
          <w:rFonts w:ascii="Arial Narrow" w:hAnsi="Arial Narrow"/>
          <w:sz w:val="24"/>
          <w:szCs w:val="24"/>
        </w:rPr>
        <w:t>clusters of development in its proximity, as well as a vision of new parks</w:t>
      </w:r>
      <w:r w:rsidR="001A161D">
        <w:rPr>
          <w:rFonts w:ascii="Arial Narrow" w:hAnsi="Arial Narrow"/>
          <w:sz w:val="24"/>
          <w:szCs w:val="24"/>
        </w:rPr>
        <w:t>,</w:t>
      </w:r>
      <w:r w:rsidRPr="00B67C60">
        <w:rPr>
          <w:rFonts w:ascii="Arial Narrow" w:hAnsi="Arial Narrow"/>
          <w:sz w:val="24"/>
          <w:szCs w:val="24"/>
        </w:rPr>
        <w:t xml:space="preserve"> greenways</w:t>
      </w:r>
      <w:r w:rsidR="001A161D">
        <w:rPr>
          <w:rFonts w:ascii="Arial Narrow" w:hAnsi="Arial Narrow"/>
          <w:sz w:val="24"/>
          <w:szCs w:val="24"/>
        </w:rPr>
        <w:t>, transit lines and pedestrian connections</w:t>
      </w:r>
      <w:r w:rsidRPr="00B67C60">
        <w:rPr>
          <w:rFonts w:ascii="Arial Narrow" w:hAnsi="Arial Narrow"/>
          <w:sz w:val="24"/>
          <w:szCs w:val="24"/>
        </w:rPr>
        <w:t xml:space="preserve"> that will provide necessary civic space </w:t>
      </w:r>
      <w:r w:rsidR="001A161D">
        <w:rPr>
          <w:rFonts w:ascii="Arial Narrow" w:hAnsi="Arial Narrow"/>
          <w:sz w:val="24"/>
          <w:szCs w:val="24"/>
        </w:rPr>
        <w:t xml:space="preserve">and transportation needs </w:t>
      </w:r>
      <w:r w:rsidRPr="00B67C60">
        <w:rPr>
          <w:rFonts w:ascii="Arial Narrow" w:hAnsi="Arial Narrow"/>
          <w:sz w:val="24"/>
          <w:szCs w:val="24"/>
        </w:rPr>
        <w:t>for residents. The neighborhood’s current proximity to Target Field also requires special consideration</w:t>
      </w:r>
      <w:r w:rsidR="00B75622">
        <w:rPr>
          <w:rFonts w:ascii="Arial Narrow" w:hAnsi="Arial Narrow"/>
          <w:sz w:val="24"/>
          <w:szCs w:val="24"/>
        </w:rPr>
        <w:t>,</w:t>
      </w:r>
      <w:r w:rsidRPr="00B67C60">
        <w:rPr>
          <w:rFonts w:ascii="Arial Narrow" w:hAnsi="Arial Narrow"/>
          <w:sz w:val="24"/>
          <w:szCs w:val="24"/>
        </w:rPr>
        <w:t xml:space="preserve"> given the periodic fluctua</w:t>
      </w:r>
      <w:r w:rsidR="00B75622">
        <w:rPr>
          <w:rFonts w:ascii="Arial Narrow" w:hAnsi="Arial Narrow"/>
          <w:sz w:val="24"/>
          <w:szCs w:val="24"/>
        </w:rPr>
        <w:t>tion of residents into the area</w:t>
      </w:r>
      <w:r w:rsidRPr="00B67C60">
        <w:rPr>
          <w:rFonts w:ascii="Arial Narrow" w:hAnsi="Arial Narrow"/>
          <w:sz w:val="24"/>
          <w:szCs w:val="24"/>
        </w:rPr>
        <w:t xml:space="preserve"> and the potential of the sporting ve</w:t>
      </w:r>
      <w:r w:rsidR="00B75622">
        <w:rPr>
          <w:rFonts w:ascii="Arial Narrow" w:hAnsi="Arial Narrow"/>
          <w:sz w:val="24"/>
          <w:szCs w:val="24"/>
        </w:rPr>
        <w:t>nue to be an important magnet for</w:t>
      </w:r>
      <w:r w:rsidRPr="00B67C60">
        <w:rPr>
          <w:rFonts w:ascii="Arial Narrow" w:hAnsi="Arial Narrow"/>
          <w:sz w:val="24"/>
          <w:szCs w:val="24"/>
        </w:rPr>
        <w:t xml:space="preserve"> future redevelopment. Connectivity within the neighborhood is also a concern, as it is currently underserved by public</w:t>
      </w:r>
      <w:r w:rsidR="00C536F7">
        <w:rPr>
          <w:rFonts w:ascii="Arial Narrow" w:hAnsi="Arial Narrow"/>
          <w:sz w:val="24"/>
          <w:szCs w:val="24"/>
        </w:rPr>
        <w:t xml:space="preserve"> transit. However, Minneapolis’</w:t>
      </w:r>
      <w:r w:rsidRPr="00B67C60">
        <w:rPr>
          <w:rFonts w:ascii="Arial Narrow" w:hAnsi="Arial Narrow"/>
          <w:sz w:val="24"/>
          <w:szCs w:val="24"/>
        </w:rPr>
        <w:t xml:space="preserve"> control over pedestrian and cycling infrastructure, as well as the public transit network through Metro Transit, indicates that </w:t>
      </w:r>
      <w:r w:rsidR="001A161D">
        <w:rPr>
          <w:rFonts w:ascii="Arial Narrow" w:hAnsi="Arial Narrow"/>
          <w:sz w:val="24"/>
          <w:szCs w:val="24"/>
        </w:rPr>
        <w:t>Lower North</w:t>
      </w:r>
      <w:r w:rsidR="001A161D" w:rsidRPr="00B67C60">
        <w:rPr>
          <w:rFonts w:ascii="Arial Narrow" w:hAnsi="Arial Narrow"/>
          <w:sz w:val="24"/>
          <w:szCs w:val="24"/>
        </w:rPr>
        <w:t xml:space="preserve"> </w:t>
      </w:r>
      <w:r w:rsidRPr="00B67C60">
        <w:rPr>
          <w:rFonts w:ascii="Arial Narrow" w:hAnsi="Arial Narrow"/>
          <w:sz w:val="24"/>
          <w:szCs w:val="24"/>
        </w:rPr>
        <w:t xml:space="preserve">Loop can be designed to encourage active and public transit use. </w:t>
      </w:r>
    </w:p>
    <w:p w14:paraId="3B6B9701" w14:textId="0BD892D5" w:rsidR="00F41162" w:rsidRDefault="00F41162" w:rsidP="00394C10">
      <w:pPr>
        <w:pStyle w:val="Heading1"/>
      </w:pPr>
      <w:bookmarkStart w:id="10" w:name="_Toc460348776"/>
      <w:r w:rsidRPr="00B67C60">
        <w:t>F</w:t>
      </w:r>
      <w:r w:rsidR="00F2279B">
        <w:t>ostering an Energy System Transformation</w:t>
      </w:r>
      <w:bookmarkEnd w:id="10"/>
    </w:p>
    <w:p w14:paraId="7B2C09BD" w14:textId="4F61F90E" w:rsidR="004A2C43" w:rsidRDefault="004A2C43" w:rsidP="004A2C43">
      <w:pPr>
        <w:jc w:val="both"/>
        <w:rPr>
          <w:rFonts w:ascii="Arial Narrow" w:hAnsi="Arial Narrow"/>
          <w:sz w:val="24"/>
          <w:szCs w:val="24"/>
        </w:rPr>
      </w:pPr>
      <w:r>
        <w:rPr>
          <w:rFonts w:ascii="Arial Narrow" w:hAnsi="Arial Narrow"/>
          <w:sz w:val="24"/>
          <w:szCs w:val="24"/>
        </w:rPr>
        <w:t xml:space="preserve">The remainder of this Strategy presents two energy and emissions scenarios: a </w:t>
      </w:r>
      <w:r w:rsidRPr="00C22F21">
        <w:rPr>
          <w:rFonts w:ascii="Arial Narrow" w:hAnsi="Arial Narrow"/>
          <w:i/>
          <w:sz w:val="24"/>
          <w:szCs w:val="24"/>
        </w:rPr>
        <w:t>Baseline Scenario</w:t>
      </w:r>
      <w:r>
        <w:rPr>
          <w:rFonts w:ascii="Arial Narrow" w:hAnsi="Arial Narrow"/>
          <w:sz w:val="24"/>
          <w:szCs w:val="24"/>
        </w:rPr>
        <w:t xml:space="preserve"> assuming business-as-usual activities, and a </w:t>
      </w:r>
      <w:r w:rsidRPr="00C22F21">
        <w:rPr>
          <w:rFonts w:ascii="Arial Narrow" w:hAnsi="Arial Narrow"/>
          <w:i/>
          <w:sz w:val="24"/>
          <w:szCs w:val="24"/>
        </w:rPr>
        <w:t>Transformation Scenario</w:t>
      </w:r>
      <w:r>
        <w:rPr>
          <w:rFonts w:ascii="Arial Narrow" w:hAnsi="Arial Narrow"/>
          <w:sz w:val="24"/>
          <w:szCs w:val="24"/>
        </w:rPr>
        <w:t xml:space="preserve"> developed to eliminate GHG emissions from the neighborhood. </w:t>
      </w:r>
      <w:r w:rsidR="0018446B">
        <w:rPr>
          <w:rFonts w:ascii="Arial Narrow" w:hAnsi="Arial Narrow"/>
          <w:sz w:val="24"/>
          <w:szCs w:val="24"/>
        </w:rPr>
        <w:t xml:space="preserve">We used the </w:t>
      </w:r>
      <w:r w:rsidRPr="00C22F21">
        <w:rPr>
          <w:rFonts w:ascii="Arial Narrow" w:hAnsi="Arial Narrow"/>
          <w:i/>
          <w:sz w:val="24"/>
          <w:szCs w:val="24"/>
        </w:rPr>
        <w:t>Transformation Scenario</w:t>
      </w:r>
      <w:r>
        <w:rPr>
          <w:rFonts w:ascii="Arial Narrow" w:hAnsi="Arial Narrow"/>
          <w:sz w:val="24"/>
          <w:szCs w:val="24"/>
        </w:rPr>
        <w:t xml:space="preserve"> alongside the CNCA Playbook to identify the City’s top priorities in each urban system—energy supply, buildings, and transportation—to decarbonize the neighborhood. </w:t>
      </w:r>
      <w:r w:rsidR="0018446B">
        <w:rPr>
          <w:rFonts w:ascii="Arial Narrow" w:hAnsi="Arial Narrow"/>
          <w:sz w:val="24"/>
          <w:szCs w:val="24"/>
        </w:rPr>
        <w:t>We discuss t</w:t>
      </w:r>
      <w:r>
        <w:rPr>
          <w:rFonts w:ascii="Arial Narrow" w:hAnsi="Arial Narrow"/>
          <w:sz w:val="24"/>
          <w:szCs w:val="24"/>
        </w:rPr>
        <w:t>hese priorities alongside strategies and actions drawn from the Playbook. Energy consumption and GHG emissions are quantified for both scenarios.</w:t>
      </w:r>
    </w:p>
    <w:p w14:paraId="637E9C35" w14:textId="013B509F" w:rsidR="004A2C43" w:rsidRPr="00C22F21" w:rsidRDefault="004A2C43" w:rsidP="004A2C43">
      <w:r>
        <w:rPr>
          <w:rFonts w:ascii="Arial Narrow" w:hAnsi="Arial Narrow"/>
          <w:sz w:val="24"/>
        </w:rPr>
        <w:t xml:space="preserve">Recall that this Strategy is intended to help inform discussions between City staff and other stakeholders regarding what the City must achieve to transform its energy system to mitigate climate change, among other priorities. This Strategy does not present a specific plan to achieve decarbonization, but rather identifies top priorities and the strategies and actions the City can use to achieve them. </w:t>
      </w:r>
      <w:r w:rsidR="0018446B">
        <w:rPr>
          <w:rFonts w:ascii="Arial Narrow" w:hAnsi="Arial Narrow"/>
          <w:sz w:val="24"/>
        </w:rPr>
        <w:t>Readers should view t</w:t>
      </w:r>
      <w:r>
        <w:rPr>
          <w:rFonts w:ascii="Arial Narrow" w:hAnsi="Arial Narrow"/>
          <w:sz w:val="24"/>
        </w:rPr>
        <w:t xml:space="preserve">he </w:t>
      </w:r>
      <w:r w:rsidR="00A3265F">
        <w:rPr>
          <w:rFonts w:ascii="Arial Narrow" w:hAnsi="Arial Narrow"/>
          <w:i/>
          <w:sz w:val="24"/>
        </w:rPr>
        <w:t xml:space="preserve">Transformation </w:t>
      </w:r>
      <w:r w:rsidRPr="00A3265F">
        <w:rPr>
          <w:rFonts w:ascii="Arial Narrow" w:hAnsi="Arial Narrow"/>
          <w:i/>
          <w:sz w:val="24"/>
        </w:rPr>
        <w:t>Scenario</w:t>
      </w:r>
      <w:r>
        <w:rPr>
          <w:rFonts w:ascii="Arial Narrow" w:hAnsi="Arial Narrow"/>
          <w:sz w:val="24"/>
        </w:rPr>
        <w:t xml:space="preserve"> and </w:t>
      </w:r>
      <w:r w:rsidR="0018446B">
        <w:rPr>
          <w:rFonts w:ascii="Arial Narrow" w:hAnsi="Arial Narrow"/>
          <w:sz w:val="24"/>
        </w:rPr>
        <w:t xml:space="preserve">associated </w:t>
      </w:r>
      <w:r>
        <w:rPr>
          <w:rFonts w:ascii="Arial Narrow" w:hAnsi="Arial Narrow"/>
          <w:sz w:val="24"/>
        </w:rPr>
        <w:t>priority strategies and actions in this light.</w:t>
      </w:r>
    </w:p>
    <w:p w14:paraId="298CDD87" w14:textId="37FF32FE" w:rsidR="00C14039" w:rsidRPr="00B67C60" w:rsidRDefault="00C14039" w:rsidP="00394C10">
      <w:pPr>
        <w:pStyle w:val="Heading2"/>
      </w:pPr>
      <w:bookmarkStart w:id="11" w:name="_Toc460348777"/>
      <w:r w:rsidRPr="00B67C60">
        <w:t>B</w:t>
      </w:r>
      <w:r w:rsidR="00F2279B">
        <w:t>aseline Energy and Emissions Profile</w:t>
      </w:r>
      <w:bookmarkEnd w:id="11"/>
    </w:p>
    <w:p w14:paraId="1C1B478E" w14:textId="592FA865" w:rsidR="00F645A9" w:rsidRDefault="001E4B56" w:rsidP="00C14039">
      <w:pPr>
        <w:spacing w:line="276" w:lineRule="auto"/>
        <w:jc w:val="both"/>
        <w:rPr>
          <w:rFonts w:ascii="Arial Narrow" w:eastAsia="MS Mincho" w:hAnsi="Arial Narrow"/>
          <w:sz w:val="24"/>
          <w:szCs w:val="24"/>
        </w:rPr>
      </w:pPr>
      <w:r>
        <w:rPr>
          <w:rFonts w:ascii="Arial Narrow" w:eastAsia="MS Mincho" w:hAnsi="Arial Narrow"/>
          <w:sz w:val="24"/>
          <w:szCs w:val="24"/>
        </w:rPr>
        <w:t xml:space="preserve">To understand what actions are required to bring </w:t>
      </w:r>
      <w:r w:rsidR="00BD7C3B">
        <w:rPr>
          <w:rFonts w:ascii="Arial Narrow" w:eastAsia="MS Mincho" w:hAnsi="Arial Narrow"/>
          <w:sz w:val="24"/>
          <w:szCs w:val="24"/>
        </w:rPr>
        <w:t xml:space="preserve">Lower North </w:t>
      </w:r>
      <w:r>
        <w:rPr>
          <w:rFonts w:ascii="Arial Narrow" w:eastAsia="MS Mincho" w:hAnsi="Arial Narrow"/>
          <w:sz w:val="24"/>
          <w:szCs w:val="24"/>
        </w:rPr>
        <w:t>Loop, or any other neighborhood, to a state of zero emissions, it is important to first understand its current state. D</w:t>
      </w:r>
      <w:r w:rsidR="00C14039" w:rsidRPr="00B67C60">
        <w:rPr>
          <w:rFonts w:ascii="Arial Narrow" w:eastAsia="MS Mincho" w:hAnsi="Arial Narrow"/>
          <w:sz w:val="24"/>
          <w:szCs w:val="24"/>
        </w:rPr>
        <w:t xml:space="preserve">evelopment in the </w:t>
      </w:r>
      <w:r w:rsidR="00BD7C3B">
        <w:rPr>
          <w:rFonts w:ascii="Arial Narrow" w:eastAsia="MS Mincho" w:hAnsi="Arial Narrow"/>
          <w:sz w:val="24"/>
          <w:szCs w:val="24"/>
        </w:rPr>
        <w:t>Lower North</w:t>
      </w:r>
      <w:r w:rsidR="00BD7C3B" w:rsidRPr="00B67C60">
        <w:rPr>
          <w:rFonts w:ascii="Arial Narrow" w:eastAsia="MS Mincho" w:hAnsi="Arial Narrow"/>
          <w:sz w:val="24"/>
          <w:szCs w:val="24"/>
        </w:rPr>
        <w:t xml:space="preserve"> </w:t>
      </w:r>
      <w:r w:rsidR="00C14039" w:rsidRPr="00B67C60">
        <w:rPr>
          <w:rFonts w:ascii="Arial Narrow" w:eastAsia="MS Mincho" w:hAnsi="Arial Narrow"/>
          <w:sz w:val="24"/>
          <w:szCs w:val="24"/>
        </w:rPr>
        <w:t xml:space="preserve">Loop neighborhood </w:t>
      </w:r>
      <w:r w:rsidR="00BD7C3B">
        <w:rPr>
          <w:rFonts w:ascii="Arial Narrow" w:eastAsia="MS Mincho" w:hAnsi="Arial Narrow"/>
          <w:sz w:val="24"/>
          <w:szCs w:val="24"/>
        </w:rPr>
        <w:t xml:space="preserve">has </w:t>
      </w:r>
      <w:r w:rsidR="0058185B">
        <w:rPr>
          <w:rFonts w:ascii="Arial Narrow" w:eastAsia="MS Mincho" w:hAnsi="Arial Narrow"/>
          <w:sz w:val="24"/>
          <w:szCs w:val="24"/>
        </w:rPr>
        <w:t xml:space="preserve">the </w:t>
      </w:r>
      <w:r w:rsidR="00BD7C3B">
        <w:rPr>
          <w:rFonts w:ascii="Arial Narrow" w:eastAsia="MS Mincho" w:hAnsi="Arial Narrow"/>
          <w:sz w:val="24"/>
          <w:szCs w:val="24"/>
        </w:rPr>
        <w:t>potential</w:t>
      </w:r>
      <w:r w:rsidR="00C14039" w:rsidRPr="00B67C60">
        <w:rPr>
          <w:rFonts w:ascii="Arial Narrow" w:eastAsia="MS Mincho" w:hAnsi="Arial Narrow"/>
          <w:sz w:val="24"/>
          <w:szCs w:val="24"/>
        </w:rPr>
        <w:t xml:space="preserve"> to grow </w:t>
      </w:r>
      <w:r w:rsidR="00BA7197">
        <w:rPr>
          <w:rFonts w:ascii="Arial Narrow" w:eastAsia="MS Mincho" w:hAnsi="Arial Narrow"/>
          <w:sz w:val="24"/>
          <w:szCs w:val="24"/>
        </w:rPr>
        <w:t xml:space="preserve">significantly </w:t>
      </w:r>
      <w:r w:rsidR="00C14039" w:rsidRPr="00B67C60">
        <w:rPr>
          <w:rFonts w:ascii="Arial Narrow" w:eastAsia="MS Mincho" w:hAnsi="Arial Narrow"/>
          <w:sz w:val="24"/>
          <w:szCs w:val="24"/>
        </w:rPr>
        <w:t>over the next 25 years</w:t>
      </w:r>
      <w:r>
        <w:rPr>
          <w:rFonts w:ascii="Arial Narrow" w:eastAsia="MS Mincho" w:hAnsi="Arial Narrow"/>
          <w:sz w:val="24"/>
          <w:szCs w:val="24"/>
        </w:rPr>
        <w:t xml:space="preserve">, which of course represents only one potential </w:t>
      </w:r>
      <w:r w:rsidR="00C14039" w:rsidRPr="00B67C60">
        <w:rPr>
          <w:rFonts w:ascii="Arial Narrow" w:eastAsia="MS Mincho" w:hAnsi="Arial Narrow"/>
          <w:sz w:val="24"/>
          <w:szCs w:val="24"/>
        </w:rPr>
        <w:t>growth path</w:t>
      </w:r>
      <w:r>
        <w:rPr>
          <w:rFonts w:ascii="Arial Narrow" w:eastAsia="MS Mincho" w:hAnsi="Arial Narrow"/>
          <w:sz w:val="24"/>
          <w:szCs w:val="24"/>
        </w:rPr>
        <w:t xml:space="preserve">. </w:t>
      </w:r>
      <w:r w:rsidR="00BA7197">
        <w:rPr>
          <w:rFonts w:ascii="Arial Narrow" w:eastAsia="MS Mincho" w:hAnsi="Arial Narrow"/>
          <w:sz w:val="24"/>
          <w:szCs w:val="24"/>
        </w:rPr>
        <w:t xml:space="preserve">For this exercise, we assume the neighborhood grows at </w:t>
      </w:r>
      <w:r w:rsidR="00FD1859">
        <w:rPr>
          <w:rFonts w:ascii="Arial Narrow" w:eastAsia="MS Mincho" w:hAnsi="Arial Narrow"/>
          <w:sz w:val="24"/>
          <w:szCs w:val="24"/>
        </w:rPr>
        <w:t>a</w:t>
      </w:r>
      <w:r w:rsidR="00BA7197">
        <w:rPr>
          <w:rFonts w:ascii="Arial Narrow" w:eastAsia="MS Mincho" w:hAnsi="Arial Narrow"/>
          <w:sz w:val="24"/>
          <w:szCs w:val="24"/>
        </w:rPr>
        <w:t xml:space="preserve"> 2% annual growth rate</w:t>
      </w:r>
      <w:r w:rsidR="00FD1859">
        <w:rPr>
          <w:rFonts w:ascii="Arial Narrow" w:eastAsia="MS Mincho" w:hAnsi="Arial Narrow"/>
          <w:sz w:val="24"/>
          <w:szCs w:val="24"/>
        </w:rPr>
        <w:t>.</w:t>
      </w:r>
      <w:r w:rsidR="00BA7197">
        <w:rPr>
          <w:rFonts w:ascii="Arial Narrow" w:eastAsia="MS Mincho" w:hAnsi="Arial Narrow"/>
          <w:sz w:val="24"/>
          <w:szCs w:val="24"/>
        </w:rPr>
        <w:t xml:space="preserve"> </w:t>
      </w:r>
      <w:r w:rsidR="00C14039" w:rsidRPr="00B67C60">
        <w:rPr>
          <w:rFonts w:ascii="Arial Narrow" w:eastAsia="MS Mincho" w:hAnsi="Arial Narrow"/>
          <w:sz w:val="24"/>
          <w:szCs w:val="24"/>
        </w:rPr>
        <w:t xml:space="preserve">Under </w:t>
      </w:r>
      <w:r w:rsidR="00BA7197">
        <w:rPr>
          <w:rFonts w:ascii="Arial Narrow" w:eastAsia="MS Mincho" w:hAnsi="Arial Narrow"/>
          <w:sz w:val="24"/>
          <w:szCs w:val="24"/>
        </w:rPr>
        <w:t xml:space="preserve">this </w:t>
      </w:r>
      <w:r w:rsidR="00C14039" w:rsidRPr="00B67C60">
        <w:rPr>
          <w:rFonts w:ascii="Arial Narrow" w:eastAsia="MS Mincho" w:hAnsi="Arial Narrow"/>
          <w:sz w:val="24"/>
          <w:szCs w:val="24"/>
        </w:rPr>
        <w:t xml:space="preserve">scenario, total square footage is projected to </w:t>
      </w:r>
      <w:r w:rsidR="00BA7197">
        <w:rPr>
          <w:rFonts w:ascii="Arial Narrow" w:eastAsia="MS Mincho" w:hAnsi="Arial Narrow"/>
          <w:sz w:val="24"/>
          <w:szCs w:val="24"/>
        </w:rPr>
        <w:t xml:space="preserve">grow from approximately 4.9 million square feet to 8 million square feet by 2040. </w:t>
      </w:r>
      <w:r>
        <w:rPr>
          <w:rFonts w:ascii="Arial Narrow" w:eastAsia="MS Mincho" w:hAnsi="Arial Narrow"/>
          <w:sz w:val="24"/>
          <w:szCs w:val="24"/>
        </w:rPr>
        <w:t xml:space="preserve"> Eighty-four percent of t</w:t>
      </w:r>
      <w:r w:rsidR="00C14039" w:rsidRPr="00B67C60">
        <w:rPr>
          <w:rFonts w:ascii="Arial Narrow" w:eastAsia="MS Mincho" w:hAnsi="Arial Narrow"/>
          <w:sz w:val="24"/>
          <w:szCs w:val="24"/>
        </w:rPr>
        <w:t>he neighborhood</w:t>
      </w:r>
      <w:r>
        <w:rPr>
          <w:rFonts w:ascii="Arial Narrow" w:eastAsia="MS Mincho" w:hAnsi="Arial Narrow"/>
          <w:sz w:val="24"/>
          <w:szCs w:val="24"/>
        </w:rPr>
        <w:t>’s current square footage</w:t>
      </w:r>
      <w:r w:rsidR="00C14039" w:rsidRPr="00B67C60">
        <w:rPr>
          <w:rFonts w:ascii="Arial Narrow" w:eastAsia="MS Mincho" w:hAnsi="Arial Narrow"/>
          <w:sz w:val="24"/>
          <w:szCs w:val="24"/>
        </w:rPr>
        <w:t xml:space="preserve"> is commercial, industrial, and institutional</w:t>
      </w:r>
      <w:r>
        <w:rPr>
          <w:rFonts w:ascii="Arial Narrow" w:eastAsia="MS Mincho" w:hAnsi="Arial Narrow"/>
          <w:sz w:val="24"/>
          <w:szCs w:val="24"/>
        </w:rPr>
        <w:t>; moving forward, new mixed-</w:t>
      </w:r>
      <w:r w:rsidR="00C14039" w:rsidRPr="00B67C60">
        <w:rPr>
          <w:rFonts w:ascii="Arial Narrow" w:eastAsia="MS Mincho" w:hAnsi="Arial Narrow"/>
          <w:sz w:val="24"/>
          <w:szCs w:val="24"/>
        </w:rPr>
        <w:t>use developments at medium to high densities will steadily grow the portion of residential buildings, which are assumed represent 40% of total square footage</w:t>
      </w:r>
      <w:r>
        <w:rPr>
          <w:rFonts w:ascii="Arial Narrow" w:eastAsia="MS Mincho" w:hAnsi="Arial Narrow"/>
          <w:sz w:val="24"/>
          <w:szCs w:val="24"/>
        </w:rPr>
        <w:t xml:space="preserve"> by 2050</w:t>
      </w:r>
      <w:r w:rsidR="00C14039" w:rsidRPr="00B67C60">
        <w:rPr>
          <w:rFonts w:ascii="Arial Narrow" w:eastAsia="MS Mincho" w:hAnsi="Arial Narrow"/>
          <w:sz w:val="24"/>
          <w:szCs w:val="24"/>
        </w:rPr>
        <w:t xml:space="preserve">. The changing composition of the neighborhood towards increased residential </w:t>
      </w:r>
      <w:r>
        <w:rPr>
          <w:rFonts w:ascii="Arial Narrow" w:eastAsia="MS Mincho" w:hAnsi="Arial Narrow"/>
          <w:sz w:val="24"/>
          <w:szCs w:val="24"/>
        </w:rPr>
        <w:t>will push</w:t>
      </w:r>
      <w:r w:rsidR="00C14039" w:rsidRPr="00B67C60">
        <w:rPr>
          <w:rFonts w:ascii="Arial Narrow" w:eastAsia="MS Mincho" w:hAnsi="Arial Narrow"/>
          <w:sz w:val="24"/>
          <w:szCs w:val="24"/>
        </w:rPr>
        <w:t xml:space="preserve"> natural gas to play a larger role in </w:t>
      </w:r>
      <w:r>
        <w:rPr>
          <w:rFonts w:ascii="Arial Narrow" w:eastAsia="MS Mincho" w:hAnsi="Arial Narrow"/>
          <w:sz w:val="24"/>
          <w:szCs w:val="24"/>
        </w:rPr>
        <w:t xml:space="preserve">future </w:t>
      </w:r>
      <w:r w:rsidR="00C14039" w:rsidRPr="00B67C60">
        <w:rPr>
          <w:rFonts w:ascii="Arial Narrow" w:eastAsia="MS Mincho" w:hAnsi="Arial Narrow"/>
          <w:sz w:val="24"/>
          <w:szCs w:val="24"/>
        </w:rPr>
        <w:t xml:space="preserve">GHG emissions, while increased jobs and new housing in the area </w:t>
      </w:r>
      <w:r>
        <w:rPr>
          <w:rFonts w:ascii="Arial Narrow" w:eastAsia="MS Mincho" w:hAnsi="Arial Narrow"/>
          <w:sz w:val="24"/>
          <w:szCs w:val="24"/>
        </w:rPr>
        <w:t xml:space="preserve">will </w:t>
      </w:r>
      <w:r w:rsidR="00C14039" w:rsidRPr="00B67C60">
        <w:rPr>
          <w:rFonts w:ascii="Arial Narrow" w:eastAsia="MS Mincho" w:hAnsi="Arial Narrow"/>
          <w:sz w:val="24"/>
          <w:szCs w:val="24"/>
        </w:rPr>
        <w:t xml:space="preserve">drive increases in transportation demand and associated gasoline and diesel consumption. The resulting energy consumption and GHG emissions are presented in </w:t>
      </w:r>
      <w:r w:rsidR="00C14039" w:rsidRPr="00B67C60">
        <w:rPr>
          <w:rFonts w:ascii="Arial Narrow" w:eastAsia="MS Mincho" w:hAnsi="Arial Narrow"/>
          <w:sz w:val="24"/>
          <w:szCs w:val="24"/>
        </w:rPr>
        <w:fldChar w:fldCharType="begin"/>
      </w:r>
      <w:r w:rsidR="00C14039" w:rsidRPr="00B67C60">
        <w:rPr>
          <w:rFonts w:ascii="Arial Narrow" w:eastAsia="MS Mincho" w:hAnsi="Arial Narrow"/>
          <w:sz w:val="24"/>
          <w:szCs w:val="24"/>
        </w:rPr>
        <w:instrText xml:space="preserve"> REF _Ref456176676 \h  \* MERGEFORMAT </w:instrText>
      </w:r>
      <w:r w:rsidR="00C14039" w:rsidRPr="00B67C60">
        <w:rPr>
          <w:rFonts w:ascii="Arial Narrow" w:eastAsia="MS Mincho" w:hAnsi="Arial Narrow"/>
          <w:sz w:val="24"/>
          <w:szCs w:val="24"/>
        </w:rPr>
      </w:r>
      <w:r w:rsidR="00C14039" w:rsidRPr="00B67C60">
        <w:rPr>
          <w:rFonts w:ascii="Arial Narrow" w:eastAsia="MS Mincho" w:hAnsi="Arial Narrow"/>
          <w:sz w:val="24"/>
          <w:szCs w:val="24"/>
        </w:rPr>
        <w:fldChar w:fldCharType="separate"/>
      </w:r>
      <w:r w:rsidR="00394D4A" w:rsidRPr="00394D4A">
        <w:rPr>
          <w:rFonts w:ascii="Arial Narrow" w:eastAsia="MS Mincho" w:hAnsi="Arial Narrow"/>
          <w:sz w:val="24"/>
          <w:szCs w:val="24"/>
        </w:rPr>
        <w:t xml:space="preserve">Table </w:t>
      </w:r>
      <w:r w:rsidR="00394D4A" w:rsidRPr="00394D4A">
        <w:rPr>
          <w:rFonts w:ascii="Arial Narrow" w:eastAsia="MS Mincho" w:hAnsi="Arial Narrow"/>
          <w:sz w:val="24"/>
          <w:szCs w:val="24"/>
        </w:rPr>
        <w:t>1</w:t>
      </w:r>
      <w:r w:rsidR="00C14039" w:rsidRPr="00B67C60">
        <w:rPr>
          <w:rFonts w:ascii="Arial Narrow" w:eastAsia="MS Mincho" w:hAnsi="Arial Narrow"/>
          <w:sz w:val="24"/>
          <w:szCs w:val="24"/>
        </w:rPr>
        <w:fldChar w:fldCharType="end"/>
      </w:r>
      <w:r w:rsidR="00C14039" w:rsidRPr="00B67C60">
        <w:rPr>
          <w:rFonts w:ascii="Arial Narrow" w:eastAsia="MS Mincho" w:hAnsi="Arial Narrow"/>
          <w:sz w:val="24"/>
          <w:szCs w:val="24"/>
        </w:rPr>
        <w:t xml:space="preserve">. </w:t>
      </w:r>
    </w:p>
    <w:p w14:paraId="191C504F" w14:textId="77777777" w:rsidR="00F645A9" w:rsidRPr="001E4B56" w:rsidRDefault="00F645A9" w:rsidP="00F645A9">
      <w:pPr>
        <w:spacing w:line="276" w:lineRule="auto"/>
        <w:jc w:val="both"/>
        <w:rPr>
          <w:rFonts w:ascii="Arial Narrow" w:eastAsia="MS Mincho" w:hAnsi="Arial Narrow"/>
          <w:sz w:val="24"/>
          <w:szCs w:val="24"/>
        </w:rPr>
      </w:pPr>
      <w:r w:rsidRPr="00B67C60">
        <w:rPr>
          <w:rFonts w:ascii="Arial Narrow" w:eastAsia="MS Mincho" w:hAnsi="Arial Narrow"/>
          <w:sz w:val="24"/>
          <w:szCs w:val="24"/>
        </w:rPr>
        <w:t xml:space="preserve">In addition to new development, the neighborhood’s energy and emissions are affected by existing policies and programs, as well as assumptions about the future electricity mix and transportation demand. </w:t>
      </w:r>
    </w:p>
    <w:p w14:paraId="6E41B080" w14:textId="77777777" w:rsidR="00F645A9" w:rsidRPr="00306771" w:rsidRDefault="00F645A9" w:rsidP="00F645A9">
      <w:pPr>
        <w:pStyle w:val="Heading3"/>
      </w:pPr>
      <w:bookmarkStart w:id="12" w:name="_Toc460348778"/>
      <w:r w:rsidRPr="00306771">
        <w:t>E</w:t>
      </w:r>
      <w:r>
        <w:t>nergy Supply</w:t>
      </w:r>
      <w:bookmarkEnd w:id="12"/>
    </w:p>
    <w:p w14:paraId="691D1B7A" w14:textId="77777777" w:rsidR="00F645A9" w:rsidRDefault="00F645A9" w:rsidP="00F645A9">
      <w:pPr>
        <w:numPr>
          <w:ilvl w:val="0"/>
          <w:numId w:val="11"/>
        </w:numPr>
        <w:spacing w:line="276" w:lineRule="auto"/>
        <w:contextualSpacing/>
        <w:jc w:val="both"/>
        <w:rPr>
          <w:rFonts w:ascii="Arial Narrow" w:eastAsia="MS Mincho" w:hAnsi="Arial Narrow"/>
          <w:sz w:val="24"/>
          <w:szCs w:val="24"/>
        </w:rPr>
      </w:pPr>
      <w:r w:rsidRPr="00B67C60">
        <w:rPr>
          <w:rFonts w:ascii="Arial Narrow" w:eastAsia="MS Mincho" w:hAnsi="Arial Narrow"/>
          <w:sz w:val="24"/>
          <w:szCs w:val="24"/>
        </w:rPr>
        <w:t xml:space="preserve">Current and future electricity GHG intensity is based on Xcel Energy’s </w:t>
      </w:r>
      <w:r w:rsidRPr="00B67C60">
        <w:rPr>
          <w:rFonts w:ascii="Arial Narrow" w:eastAsia="MS Mincho" w:hAnsi="Arial Narrow"/>
          <w:i/>
          <w:sz w:val="24"/>
          <w:szCs w:val="24"/>
        </w:rPr>
        <w:t>Current</w:t>
      </w:r>
      <w:r w:rsidRPr="00B67C60">
        <w:rPr>
          <w:rFonts w:ascii="Arial Narrow" w:eastAsia="MS Mincho" w:hAnsi="Arial Narrow"/>
          <w:sz w:val="24"/>
          <w:szCs w:val="24"/>
        </w:rPr>
        <w:t xml:space="preserve"> </w:t>
      </w:r>
      <w:r w:rsidRPr="00B67C60">
        <w:rPr>
          <w:rFonts w:ascii="Arial Narrow" w:eastAsia="MS Mincho" w:hAnsi="Arial Narrow"/>
          <w:i/>
          <w:sz w:val="24"/>
          <w:szCs w:val="24"/>
        </w:rPr>
        <w:t>Preferred Plan</w:t>
      </w:r>
      <w:r w:rsidRPr="00B67C60">
        <w:rPr>
          <w:rFonts w:ascii="Arial Narrow" w:eastAsia="MS Mincho" w:hAnsi="Arial Narrow"/>
          <w:sz w:val="24"/>
          <w:szCs w:val="24"/>
        </w:rPr>
        <w:t>.</w:t>
      </w:r>
      <w:r w:rsidRPr="00B67C60">
        <w:rPr>
          <w:rFonts w:ascii="Arial Narrow" w:eastAsia="MS Mincho" w:hAnsi="Arial Narrow"/>
          <w:sz w:val="24"/>
          <w:szCs w:val="24"/>
          <w:vertAlign w:val="superscript"/>
        </w:rPr>
        <w:footnoteReference w:id="1"/>
      </w:r>
      <w:r>
        <w:rPr>
          <w:rFonts w:ascii="Arial Narrow" w:eastAsia="MS Mincho" w:hAnsi="Arial Narrow"/>
          <w:sz w:val="24"/>
          <w:szCs w:val="24"/>
        </w:rPr>
        <w:t xml:space="preserve"> Under the</w:t>
      </w:r>
      <w:r w:rsidRPr="00B67C60">
        <w:rPr>
          <w:rFonts w:ascii="Arial Narrow" w:eastAsia="MS Mincho" w:hAnsi="Arial Narrow"/>
          <w:sz w:val="24"/>
          <w:szCs w:val="24"/>
        </w:rPr>
        <w:t xml:space="preserve"> scenario</w:t>
      </w:r>
      <w:r>
        <w:rPr>
          <w:rFonts w:ascii="Arial Narrow" w:eastAsia="MS Mincho" w:hAnsi="Arial Narrow"/>
          <w:sz w:val="24"/>
          <w:szCs w:val="24"/>
        </w:rPr>
        <w:t xml:space="preserve"> modeled here</w:t>
      </w:r>
      <w:r w:rsidRPr="00B67C60">
        <w:rPr>
          <w:rFonts w:ascii="Arial Narrow" w:eastAsia="MS Mincho" w:hAnsi="Arial Narrow"/>
          <w:sz w:val="24"/>
          <w:szCs w:val="24"/>
        </w:rPr>
        <w:t xml:space="preserve">, electricity is </w:t>
      </w:r>
      <w:r>
        <w:rPr>
          <w:rFonts w:ascii="Arial Narrow" w:eastAsia="MS Mincho" w:hAnsi="Arial Narrow"/>
          <w:sz w:val="24"/>
          <w:szCs w:val="24"/>
        </w:rPr>
        <w:t xml:space="preserve">assumed to be </w:t>
      </w:r>
      <w:r w:rsidRPr="00B67C60">
        <w:rPr>
          <w:rFonts w:ascii="Arial Narrow" w:eastAsia="MS Mincho" w:hAnsi="Arial Narrow"/>
          <w:sz w:val="24"/>
          <w:szCs w:val="24"/>
        </w:rPr>
        <w:t xml:space="preserve">approximately 46% less GHG intensive in 2050 than today. The </w:t>
      </w:r>
      <w:r w:rsidRPr="00B67C60">
        <w:rPr>
          <w:rFonts w:ascii="Arial Narrow" w:eastAsia="MS Mincho" w:hAnsi="Arial Narrow"/>
          <w:i/>
          <w:sz w:val="24"/>
          <w:szCs w:val="24"/>
        </w:rPr>
        <w:t xml:space="preserve">Current Preferred Plan </w:t>
      </w:r>
      <w:r w:rsidRPr="00B67C60">
        <w:rPr>
          <w:rFonts w:ascii="Arial Narrow" w:eastAsia="MS Mincho" w:hAnsi="Arial Narrow"/>
          <w:sz w:val="24"/>
          <w:szCs w:val="24"/>
        </w:rPr>
        <w:t>is projected to satisfy both the Minnesota Renewable Energy Standard and federal Clean Power Plan.</w:t>
      </w:r>
    </w:p>
    <w:p w14:paraId="5411EDF5" w14:textId="77777777" w:rsidR="00B168DE" w:rsidRDefault="00B168DE" w:rsidP="00B168DE">
      <w:pPr>
        <w:spacing w:line="276" w:lineRule="auto"/>
        <w:contextualSpacing/>
        <w:jc w:val="both"/>
        <w:rPr>
          <w:rFonts w:ascii="Arial Narrow" w:eastAsia="MS Mincho" w:hAnsi="Arial Narrow"/>
          <w:sz w:val="24"/>
          <w:szCs w:val="24"/>
        </w:rPr>
      </w:pPr>
    </w:p>
    <w:p w14:paraId="5D94DF50" w14:textId="0A752E21" w:rsidR="007D4DEF" w:rsidRDefault="00C14039" w:rsidP="00C14039">
      <w:pPr>
        <w:keepNext/>
        <w:spacing w:after="200" w:line="240" w:lineRule="auto"/>
        <w:rPr>
          <w:rFonts w:ascii="Arial Narrow" w:eastAsia="MS Mincho" w:hAnsi="Arial Narrow"/>
          <w:i/>
          <w:iCs/>
        </w:rPr>
      </w:pPr>
      <w:bookmarkStart w:id="13" w:name="_Ref456176676"/>
      <w:r w:rsidRPr="00433B24">
        <w:rPr>
          <w:rFonts w:ascii="Arial Narrow" w:eastAsia="MS Mincho" w:hAnsi="Arial Narrow"/>
          <w:i/>
          <w:iCs/>
        </w:rPr>
        <w:t xml:space="preserve">Table </w:t>
      </w:r>
      <w:r w:rsidRPr="00433B24">
        <w:rPr>
          <w:rFonts w:ascii="Arial Narrow" w:eastAsia="MS Mincho" w:hAnsi="Arial Narrow"/>
          <w:i/>
          <w:iCs/>
        </w:rPr>
        <w:fldChar w:fldCharType="begin"/>
      </w:r>
      <w:r w:rsidRPr="00433B24">
        <w:rPr>
          <w:rFonts w:ascii="Arial Narrow" w:eastAsia="MS Mincho" w:hAnsi="Arial Narrow"/>
          <w:i/>
          <w:iCs/>
        </w:rPr>
        <w:instrText xml:space="preserve"> SEQ Table \* ARABIC </w:instrText>
      </w:r>
      <w:r w:rsidRPr="00433B24">
        <w:rPr>
          <w:rFonts w:ascii="Arial Narrow" w:eastAsia="MS Mincho" w:hAnsi="Arial Narrow"/>
          <w:i/>
          <w:iCs/>
        </w:rPr>
        <w:fldChar w:fldCharType="separate"/>
      </w:r>
      <w:r w:rsidR="00394D4A">
        <w:rPr>
          <w:rFonts w:ascii="Arial Narrow" w:eastAsia="MS Mincho" w:hAnsi="Arial Narrow"/>
          <w:i/>
          <w:iCs/>
          <w:noProof/>
        </w:rPr>
        <w:t>1</w:t>
      </w:r>
      <w:r w:rsidRPr="00433B24">
        <w:rPr>
          <w:rFonts w:ascii="Arial Narrow" w:eastAsia="MS Mincho" w:hAnsi="Arial Narrow"/>
          <w:i/>
          <w:iCs/>
        </w:rPr>
        <w:fldChar w:fldCharType="end"/>
      </w:r>
      <w:bookmarkEnd w:id="13"/>
      <w:r w:rsidRPr="00B67C60">
        <w:rPr>
          <w:rFonts w:ascii="Arial Narrow" w:eastAsia="MS Mincho" w:hAnsi="Arial Narrow"/>
          <w:i/>
          <w:iCs/>
        </w:rPr>
        <w:t xml:space="preserve"> Summary of current and future energy consumption and GHG emissions</w:t>
      </w:r>
      <w:r w:rsidR="00447C81">
        <w:rPr>
          <w:rFonts w:ascii="Arial Narrow" w:eastAsia="MS Mincho" w:hAnsi="Arial Narrow"/>
          <w:i/>
          <w:iCs/>
        </w:rPr>
        <w:t xml:space="preserve"> in the </w:t>
      </w:r>
      <w:r w:rsidR="00447C81" w:rsidRPr="00B50F30">
        <w:rPr>
          <w:rFonts w:ascii="Arial Narrow" w:eastAsia="MS Mincho" w:hAnsi="Arial Narrow"/>
          <w:i/>
          <w:iCs/>
        </w:rPr>
        <w:t>Baseline Scenario</w:t>
      </w:r>
      <w:r w:rsidRPr="00B67C60">
        <w:rPr>
          <w:rFonts w:ascii="Arial Narrow" w:eastAsia="MS Mincho" w:hAnsi="Arial Narrow"/>
          <w:i/>
          <w:iCs/>
        </w:rPr>
        <w:t>.</w:t>
      </w:r>
    </w:p>
    <w:tbl>
      <w:tblPr>
        <w:tblStyle w:val="GridTable4-Accent11"/>
        <w:tblW w:w="5001" w:type="pct"/>
        <w:tblLook w:val="04A0" w:firstRow="1" w:lastRow="0" w:firstColumn="1" w:lastColumn="0" w:noHBand="0" w:noVBand="1"/>
      </w:tblPr>
      <w:tblGrid>
        <w:gridCol w:w="2240"/>
        <w:gridCol w:w="1422"/>
        <w:gridCol w:w="1422"/>
        <w:gridCol w:w="1423"/>
        <w:gridCol w:w="1422"/>
        <w:gridCol w:w="1423"/>
      </w:tblGrid>
      <w:tr w:rsidR="009E5D83" w:rsidRPr="005E0DBD" w14:paraId="4D93E474" w14:textId="469D52FF" w:rsidTr="00394C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8" w:type="pct"/>
            <w:vAlign w:val="center"/>
          </w:tcPr>
          <w:p w14:paraId="64FC3D03" w14:textId="38449A56" w:rsidR="009E5D83" w:rsidRPr="005E0DBD" w:rsidRDefault="009E5D83" w:rsidP="00394C10">
            <w:pPr>
              <w:spacing w:line="276" w:lineRule="auto"/>
              <w:rPr>
                <w:rFonts w:ascii="Arial Narrow" w:hAnsi="Arial Narrow"/>
              </w:rPr>
            </w:pPr>
            <w:r w:rsidRPr="005E0DBD">
              <w:rPr>
                <w:rFonts w:ascii="Arial Narrow" w:hAnsi="Arial Narrow"/>
              </w:rPr>
              <w:t>GHGs (tCO2e)</w:t>
            </w:r>
          </w:p>
        </w:tc>
        <w:tc>
          <w:tcPr>
            <w:tcW w:w="760" w:type="pct"/>
            <w:vAlign w:val="center"/>
          </w:tcPr>
          <w:p w14:paraId="3BBD91E1" w14:textId="77777777" w:rsidR="009E5D83" w:rsidRPr="005E0DBD" w:rsidRDefault="009E5D83" w:rsidP="0030677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Current</w:t>
            </w:r>
          </w:p>
        </w:tc>
        <w:tc>
          <w:tcPr>
            <w:tcW w:w="760" w:type="pct"/>
            <w:vAlign w:val="center"/>
          </w:tcPr>
          <w:p w14:paraId="72922CE4" w14:textId="77777777" w:rsidR="009E5D83" w:rsidRPr="005E0DBD" w:rsidRDefault="009E5D83" w:rsidP="0030677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2020</w:t>
            </w:r>
          </w:p>
        </w:tc>
        <w:tc>
          <w:tcPr>
            <w:tcW w:w="761" w:type="pct"/>
            <w:vAlign w:val="center"/>
          </w:tcPr>
          <w:p w14:paraId="6CD123F5" w14:textId="77777777" w:rsidR="009E5D83" w:rsidRPr="005E0DBD" w:rsidRDefault="009E5D83" w:rsidP="00394C1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2030</w:t>
            </w:r>
          </w:p>
        </w:tc>
        <w:tc>
          <w:tcPr>
            <w:tcW w:w="760" w:type="pct"/>
            <w:vAlign w:val="center"/>
          </w:tcPr>
          <w:p w14:paraId="2E5D5508" w14:textId="77777777" w:rsidR="009E5D83" w:rsidRPr="005E0DBD" w:rsidRDefault="009E5D83" w:rsidP="00394C1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2050</w:t>
            </w:r>
          </w:p>
        </w:tc>
        <w:tc>
          <w:tcPr>
            <w:tcW w:w="761" w:type="pct"/>
            <w:vAlign w:val="center"/>
          </w:tcPr>
          <w:p w14:paraId="65037621" w14:textId="0DF0F0FC" w:rsidR="009E5D83" w:rsidRDefault="009E5D83" w:rsidP="009E5D83">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C22F21">
              <w:rPr>
                <w:rFonts w:ascii="Arial Narrow" w:hAnsi="Arial Narrow"/>
                <w:sz w:val="18"/>
              </w:rPr>
              <w:t>% Change from Current by 2050</w:t>
            </w:r>
          </w:p>
        </w:tc>
      </w:tr>
      <w:tr w:rsidR="009E5D83" w:rsidRPr="005E0DBD" w14:paraId="0A9E5CC0" w14:textId="5401C42D"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8" w:type="pct"/>
          </w:tcPr>
          <w:p w14:paraId="3DB01A18" w14:textId="6F2EEECE" w:rsidR="009E5D83" w:rsidRPr="005E0DBD" w:rsidRDefault="009E5D83" w:rsidP="009E5D83">
            <w:pPr>
              <w:spacing w:line="276" w:lineRule="auto"/>
              <w:rPr>
                <w:rFonts w:ascii="Arial Narrow" w:hAnsi="Arial Narrow"/>
              </w:rPr>
            </w:pPr>
            <w:r>
              <w:rPr>
                <w:rFonts w:ascii="Arial Narrow" w:hAnsi="Arial Narrow"/>
              </w:rPr>
              <w:t>Total</w:t>
            </w:r>
            <w:r w:rsidRPr="005E0DBD">
              <w:rPr>
                <w:rFonts w:ascii="Arial Narrow" w:hAnsi="Arial Narrow"/>
              </w:rPr>
              <w:t>*</w:t>
            </w:r>
          </w:p>
        </w:tc>
        <w:tc>
          <w:tcPr>
            <w:tcW w:w="760" w:type="pct"/>
          </w:tcPr>
          <w:p w14:paraId="27E5F066" w14:textId="0011B91C"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394C10">
              <w:rPr>
                <w:rFonts w:ascii="Arial Narrow" w:hAnsi="Arial Narrow"/>
                <w:sz w:val="20"/>
              </w:rPr>
              <w:t>9</w:t>
            </w:r>
            <w:r>
              <w:rPr>
                <w:rFonts w:ascii="Arial Narrow" w:hAnsi="Arial Narrow"/>
                <w:sz w:val="20"/>
              </w:rPr>
              <w:t>3</w:t>
            </w:r>
            <w:r w:rsidRPr="00394C10">
              <w:rPr>
                <w:rFonts w:ascii="Arial Narrow" w:hAnsi="Arial Narrow"/>
                <w:sz w:val="20"/>
              </w:rPr>
              <w:t>,</w:t>
            </w:r>
            <w:r>
              <w:rPr>
                <w:rFonts w:ascii="Arial Narrow" w:hAnsi="Arial Narrow"/>
                <w:sz w:val="20"/>
              </w:rPr>
              <w:t>7</w:t>
            </w:r>
            <w:r w:rsidRPr="00394C10">
              <w:rPr>
                <w:rFonts w:ascii="Arial Narrow" w:hAnsi="Arial Narrow"/>
                <w:sz w:val="20"/>
              </w:rPr>
              <w:t>00</w:t>
            </w:r>
          </w:p>
        </w:tc>
        <w:tc>
          <w:tcPr>
            <w:tcW w:w="760" w:type="pct"/>
          </w:tcPr>
          <w:p w14:paraId="3B443F30" w14:textId="42F7115B"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BA7197">
              <w:rPr>
                <w:rFonts w:ascii="Arial Narrow" w:hAnsi="Arial Narrow"/>
                <w:sz w:val="20"/>
              </w:rPr>
              <w:t>89,000</w:t>
            </w:r>
          </w:p>
        </w:tc>
        <w:tc>
          <w:tcPr>
            <w:tcW w:w="761" w:type="pct"/>
          </w:tcPr>
          <w:p w14:paraId="4438EEE0" w14:textId="1B61B404"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BA7197">
              <w:rPr>
                <w:rFonts w:ascii="Arial Narrow" w:hAnsi="Arial Narrow"/>
                <w:sz w:val="20"/>
              </w:rPr>
              <w:t>81,100</w:t>
            </w:r>
          </w:p>
        </w:tc>
        <w:tc>
          <w:tcPr>
            <w:tcW w:w="760" w:type="pct"/>
          </w:tcPr>
          <w:p w14:paraId="5730EA6E" w14:textId="0E43CA68"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BA7197">
              <w:rPr>
                <w:rFonts w:ascii="Arial Narrow" w:hAnsi="Arial Narrow"/>
                <w:sz w:val="20"/>
              </w:rPr>
              <w:t>88,100</w:t>
            </w:r>
          </w:p>
        </w:tc>
        <w:tc>
          <w:tcPr>
            <w:tcW w:w="761" w:type="pct"/>
          </w:tcPr>
          <w:p w14:paraId="004F9104" w14:textId="584A254B" w:rsidR="009E5D83" w:rsidRPr="00306771" w:rsidRDefault="00563F4C"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-6</w:t>
            </w:r>
            <w:r w:rsidR="009E5D83" w:rsidRPr="00C22F21">
              <w:rPr>
                <w:rFonts w:ascii="Arial Narrow" w:hAnsi="Arial Narrow"/>
                <w:sz w:val="20"/>
              </w:rPr>
              <w:t>%</w:t>
            </w:r>
          </w:p>
        </w:tc>
      </w:tr>
      <w:tr w:rsidR="009E5D83" w:rsidRPr="005E0DBD" w14:paraId="14C705AA" w14:textId="59493A10" w:rsidTr="00394C10">
        <w:tc>
          <w:tcPr>
            <w:cnfStyle w:val="001000000000" w:firstRow="0" w:lastRow="0" w:firstColumn="1" w:lastColumn="0" w:oddVBand="0" w:evenVBand="0" w:oddHBand="0" w:evenHBand="0" w:firstRowFirstColumn="0" w:firstRowLastColumn="0" w:lastRowFirstColumn="0" w:lastRowLastColumn="0"/>
            <w:tcW w:w="1198" w:type="pct"/>
          </w:tcPr>
          <w:p w14:paraId="7858DC9B" w14:textId="77777777" w:rsidR="009E5D83" w:rsidRPr="005E0DBD" w:rsidRDefault="009E5D83" w:rsidP="009E5D83">
            <w:pPr>
              <w:spacing w:line="276" w:lineRule="auto"/>
              <w:jc w:val="both"/>
              <w:rPr>
                <w:rFonts w:ascii="Arial Narrow" w:hAnsi="Arial Narrow"/>
                <w:i/>
              </w:rPr>
            </w:pPr>
            <w:r w:rsidRPr="005E0DBD">
              <w:rPr>
                <w:rFonts w:ascii="Arial Narrow" w:hAnsi="Arial Narrow"/>
                <w:i/>
              </w:rPr>
              <w:t>by sector</w:t>
            </w:r>
          </w:p>
        </w:tc>
        <w:tc>
          <w:tcPr>
            <w:tcW w:w="760" w:type="pct"/>
          </w:tcPr>
          <w:p w14:paraId="0414229E" w14:textId="77777777"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1380C811" w14:textId="77777777"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1" w:type="pct"/>
          </w:tcPr>
          <w:p w14:paraId="4E87DE49" w14:textId="77777777"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4D677381" w14:textId="77777777"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1" w:type="pct"/>
          </w:tcPr>
          <w:p w14:paraId="112C8FA9" w14:textId="77777777" w:rsidR="009E5D83" w:rsidRPr="00306771"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r>
      <w:tr w:rsidR="009E5D83" w:rsidRPr="005E0DBD" w14:paraId="59AB27B9" w14:textId="27F1F073"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8" w:type="pct"/>
          </w:tcPr>
          <w:p w14:paraId="32311084" w14:textId="77777777" w:rsidR="009E5D83" w:rsidRPr="005E0DBD" w:rsidRDefault="009E5D83" w:rsidP="009E5D83">
            <w:pPr>
              <w:spacing w:line="276" w:lineRule="auto"/>
              <w:ind w:left="171"/>
              <w:jc w:val="both"/>
              <w:rPr>
                <w:rFonts w:ascii="Arial Narrow" w:hAnsi="Arial Narrow"/>
              </w:rPr>
            </w:pPr>
            <w:r w:rsidRPr="005E0DBD">
              <w:rPr>
                <w:rFonts w:ascii="Arial Narrow" w:hAnsi="Arial Narrow"/>
              </w:rPr>
              <w:t>Buildings</w:t>
            </w:r>
          </w:p>
        </w:tc>
        <w:tc>
          <w:tcPr>
            <w:tcW w:w="760" w:type="pct"/>
          </w:tcPr>
          <w:p w14:paraId="1F5375EA" w14:textId="59B8C029"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46,900</w:t>
            </w:r>
          </w:p>
        </w:tc>
        <w:tc>
          <w:tcPr>
            <w:tcW w:w="760" w:type="pct"/>
          </w:tcPr>
          <w:p w14:paraId="5FDF634E" w14:textId="1FB0D092"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43,700</w:t>
            </w:r>
          </w:p>
        </w:tc>
        <w:tc>
          <w:tcPr>
            <w:tcW w:w="761" w:type="pct"/>
          </w:tcPr>
          <w:p w14:paraId="17F18440" w14:textId="5D3E2530"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37,400</w:t>
            </w:r>
          </w:p>
        </w:tc>
        <w:tc>
          <w:tcPr>
            <w:tcW w:w="760" w:type="pct"/>
          </w:tcPr>
          <w:p w14:paraId="276B47B8" w14:textId="34258C76"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40,000</w:t>
            </w:r>
          </w:p>
        </w:tc>
        <w:tc>
          <w:tcPr>
            <w:tcW w:w="761" w:type="pct"/>
          </w:tcPr>
          <w:p w14:paraId="2DCDA898" w14:textId="7B4BE358" w:rsidR="009E5D83" w:rsidRPr="00306771" w:rsidRDefault="00563F4C"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-15</w:t>
            </w:r>
            <w:r w:rsidR="009E5D83" w:rsidRPr="00C22F21">
              <w:rPr>
                <w:rFonts w:ascii="Arial Narrow" w:hAnsi="Arial Narrow"/>
                <w:sz w:val="20"/>
              </w:rPr>
              <w:t>%</w:t>
            </w:r>
          </w:p>
        </w:tc>
      </w:tr>
      <w:tr w:rsidR="009E5D83" w:rsidRPr="005E0DBD" w14:paraId="0470C771" w14:textId="71E36ECA" w:rsidTr="00394C10">
        <w:tc>
          <w:tcPr>
            <w:cnfStyle w:val="001000000000" w:firstRow="0" w:lastRow="0" w:firstColumn="1" w:lastColumn="0" w:oddVBand="0" w:evenVBand="0" w:oddHBand="0" w:evenHBand="0" w:firstRowFirstColumn="0" w:firstRowLastColumn="0" w:lastRowFirstColumn="0" w:lastRowLastColumn="0"/>
            <w:tcW w:w="1198" w:type="pct"/>
          </w:tcPr>
          <w:p w14:paraId="161FC1CC" w14:textId="1F8A6588" w:rsidR="009E5D83" w:rsidRPr="005E0DBD" w:rsidRDefault="009E5D83" w:rsidP="009E5D83">
            <w:pPr>
              <w:spacing w:line="276" w:lineRule="auto"/>
              <w:ind w:left="171"/>
              <w:jc w:val="both"/>
              <w:rPr>
                <w:rFonts w:ascii="Arial Narrow" w:hAnsi="Arial Narrow"/>
              </w:rPr>
            </w:pPr>
            <w:r w:rsidRPr="005E0DBD">
              <w:rPr>
                <w:rFonts w:ascii="Arial Narrow" w:hAnsi="Arial Narrow"/>
              </w:rPr>
              <w:t>Transportation</w:t>
            </w:r>
          </w:p>
        </w:tc>
        <w:tc>
          <w:tcPr>
            <w:tcW w:w="760" w:type="pct"/>
          </w:tcPr>
          <w:p w14:paraId="5B5A5D90" w14:textId="1B65E401"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46,800</w:t>
            </w:r>
          </w:p>
        </w:tc>
        <w:tc>
          <w:tcPr>
            <w:tcW w:w="760" w:type="pct"/>
          </w:tcPr>
          <w:p w14:paraId="34C44ED4" w14:textId="2EE8CCC9"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45,300</w:t>
            </w:r>
          </w:p>
        </w:tc>
        <w:tc>
          <w:tcPr>
            <w:tcW w:w="761" w:type="pct"/>
          </w:tcPr>
          <w:p w14:paraId="6A10FBF8" w14:textId="34050D5E"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43,700</w:t>
            </w:r>
          </w:p>
        </w:tc>
        <w:tc>
          <w:tcPr>
            <w:tcW w:w="760" w:type="pct"/>
          </w:tcPr>
          <w:p w14:paraId="289F5AF2" w14:textId="40DE9A87"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48,100</w:t>
            </w:r>
          </w:p>
        </w:tc>
        <w:tc>
          <w:tcPr>
            <w:tcW w:w="761" w:type="pct"/>
          </w:tcPr>
          <w:p w14:paraId="5FDE2A5E" w14:textId="3BFB449F" w:rsidR="009E5D83" w:rsidRPr="00306771" w:rsidRDefault="00563F4C"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w:t>
            </w:r>
            <w:r w:rsidR="009E5D83" w:rsidRPr="00C22F21">
              <w:rPr>
                <w:rFonts w:ascii="Arial Narrow" w:hAnsi="Arial Narrow"/>
                <w:sz w:val="20"/>
              </w:rPr>
              <w:t>%</w:t>
            </w:r>
          </w:p>
        </w:tc>
      </w:tr>
      <w:tr w:rsidR="009E5D83" w:rsidRPr="005E0DBD" w14:paraId="2782715B" w14:textId="4C621558"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8" w:type="pct"/>
          </w:tcPr>
          <w:p w14:paraId="759FDF23" w14:textId="77777777" w:rsidR="009E5D83" w:rsidRPr="005E0DBD" w:rsidRDefault="009E5D83" w:rsidP="009E5D83">
            <w:pPr>
              <w:spacing w:line="276" w:lineRule="auto"/>
              <w:jc w:val="both"/>
              <w:rPr>
                <w:rFonts w:ascii="Arial Narrow" w:hAnsi="Arial Narrow"/>
                <w:i/>
              </w:rPr>
            </w:pPr>
            <w:r w:rsidRPr="005E0DBD">
              <w:rPr>
                <w:rFonts w:ascii="Arial Narrow" w:hAnsi="Arial Narrow"/>
                <w:i/>
              </w:rPr>
              <w:t>by fuel type</w:t>
            </w:r>
          </w:p>
        </w:tc>
        <w:tc>
          <w:tcPr>
            <w:tcW w:w="760" w:type="pct"/>
          </w:tcPr>
          <w:p w14:paraId="11403E8C" w14:textId="77777777"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68AC4C03" w14:textId="77777777"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1" w:type="pct"/>
          </w:tcPr>
          <w:p w14:paraId="34ECF00C" w14:textId="77777777"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00C1D7DA" w14:textId="77777777"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1" w:type="pct"/>
          </w:tcPr>
          <w:p w14:paraId="161FAEFA" w14:textId="77777777" w:rsidR="009E5D83" w:rsidRPr="00306771"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r>
      <w:tr w:rsidR="009E5D83" w:rsidRPr="005E0DBD" w14:paraId="2E06CC3C" w14:textId="5F5DAEA7" w:rsidTr="00394C10">
        <w:tc>
          <w:tcPr>
            <w:cnfStyle w:val="001000000000" w:firstRow="0" w:lastRow="0" w:firstColumn="1" w:lastColumn="0" w:oddVBand="0" w:evenVBand="0" w:oddHBand="0" w:evenHBand="0" w:firstRowFirstColumn="0" w:firstRowLastColumn="0" w:lastRowFirstColumn="0" w:lastRowLastColumn="0"/>
            <w:tcW w:w="1198" w:type="pct"/>
          </w:tcPr>
          <w:p w14:paraId="52437B83" w14:textId="77777777" w:rsidR="009E5D83" w:rsidRPr="005E0DBD" w:rsidRDefault="009E5D83" w:rsidP="009E5D83">
            <w:pPr>
              <w:spacing w:line="276" w:lineRule="auto"/>
              <w:ind w:left="171"/>
              <w:jc w:val="both"/>
              <w:rPr>
                <w:rFonts w:ascii="Arial Narrow" w:hAnsi="Arial Narrow"/>
              </w:rPr>
            </w:pPr>
            <w:r w:rsidRPr="005E0DBD">
              <w:rPr>
                <w:rFonts w:ascii="Arial Narrow" w:hAnsi="Arial Narrow"/>
              </w:rPr>
              <w:t>Electricity</w:t>
            </w:r>
          </w:p>
        </w:tc>
        <w:tc>
          <w:tcPr>
            <w:tcW w:w="760" w:type="pct"/>
          </w:tcPr>
          <w:p w14:paraId="01E63290" w14:textId="36DAFC8B"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35,200</w:t>
            </w:r>
          </w:p>
        </w:tc>
        <w:tc>
          <w:tcPr>
            <w:tcW w:w="760" w:type="pct"/>
          </w:tcPr>
          <w:p w14:paraId="772E718F" w14:textId="0A172FA0"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31,500</w:t>
            </w:r>
          </w:p>
        </w:tc>
        <w:tc>
          <w:tcPr>
            <w:tcW w:w="761" w:type="pct"/>
          </w:tcPr>
          <w:p w14:paraId="4BC78472" w14:textId="368AB969"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22,900</w:t>
            </w:r>
          </w:p>
        </w:tc>
        <w:tc>
          <w:tcPr>
            <w:tcW w:w="760" w:type="pct"/>
          </w:tcPr>
          <w:p w14:paraId="4030DFCF" w14:textId="02F7B209"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25,200</w:t>
            </w:r>
          </w:p>
        </w:tc>
        <w:tc>
          <w:tcPr>
            <w:tcW w:w="761" w:type="pct"/>
          </w:tcPr>
          <w:p w14:paraId="0704E5B1" w14:textId="3E6D64F2" w:rsidR="009E5D83" w:rsidRPr="00306771" w:rsidRDefault="00563F4C"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-28</w:t>
            </w:r>
            <w:r w:rsidR="009E5D83" w:rsidRPr="00C22F21">
              <w:rPr>
                <w:rFonts w:ascii="Arial Narrow" w:hAnsi="Arial Narrow"/>
                <w:sz w:val="20"/>
              </w:rPr>
              <w:t>%</w:t>
            </w:r>
          </w:p>
        </w:tc>
      </w:tr>
      <w:tr w:rsidR="009E5D83" w:rsidRPr="005E0DBD" w14:paraId="40C2CE46" w14:textId="760909A9"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8" w:type="pct"/>
          </w:tcPr>
          <w:p w14:paraId="55D5F0F0" w14:textId="77777777" w:rsidR="009E5D83" w:rsidRPr="005E0DBD" w:rsidRDefault="009E5D83" w:rsidP="009E5D83">
            <w:pPr>
              <w:spacing w:line="276" w:lineRule="auto"/>
              <w:ind w:left="171"/>
              <w:jc w:val="both"/>
              <w:rPr>
                <w:rFonts w:ascii="Arial Narrow" w:hAnsi="Arial Narrow"/>
              </w:rPr>
            </w:pPr>
            <w:r w:rsidRPr="005E0DBD">
              <w:rPr>
                <w:rFonts w:ascii="Arial Narrow" w:hAnsi="Arial Narrow"/>
              </w:rPr>
              <w:t>Natural Gas</w:t>
            </w:r>
          </w:p>
        </w:tc>
        <w:tc>
          <w:tcPr>
            <w:tcW w:w="760" w:type="pct"/>
          </w:tcPr>
          <w:p w14:paraId="0B890A8C" w14:textId="7375C248"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12,100</w:t>
            </w:r>
          </w:p>
        </w:tc>
        <w:tc>
          <w:tcPr>
            <w:tcW w:w="760" w:type="pct"/>
          </w:tcPr>
          <w:p w14:paraId="23664ACB" w14:textId="07AB3B26"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12,600</w:t>
            </w:r>
          </w:p>
        </w:tc>
        <w:tc>
          <w:tcPr>
            <w:tcW w:w="761" w:type="pct"/>
          </w:tcPr>
          <w:p w14:paraId="26500E7C" w14:textId="4F08D614"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15,700</w:t>
            </w:r>
          </w:p>
        </w:tc>
        <w:tc>
          <w:tcPr>
            <w:tcW w:w="760" w:type="pct"/>
          </w:tcPr>
          <w:p w14:paraId="6848827C" w14:textId="21099CBA"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17,000</w:t>
            </w:r>
          </w:p>
        </w:tc>
        <w:tc>
          <w:tcPr>
            <w:tcW w:w="761" w:type="pct"/>
          </w:tcPr>
          <w:p w14:paraId="4869C7B4" w14:textId="4612B442" w:rsidR="009E5D83" w:rsidRPr="00306771" w:rsidRDefault="00563F4C"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+40</w:t>
            </w:r>
            <w:r w:rsidR="009E5D83" w:rsidRPr="00C22F21">
              <w:rPr>
                <w:rFonts w:ascii="Arial Narrow" w:hAnsi="Arial Narrow"/>
                <w:sz w:val="20"/>
              </w:rPr>
              <w:t>%</w:t>
            </w:r>
          </w:p>
        </w:tc>
      </w:tr>
      <w:tr w:rsidR="009E5D83" w:rsidRPr="005E0DBD" w14:paraId="3375433B" w14:textId="348FC067" w:rsidTr="00394C10">
        <w:tc>
          <w:tcPr>
            <w:cnfStyle w:val="001000000000" w:firstRow="0" w:lastRow="0" w:firstColumn="1" w:lastColumn="0" w:oddVBand="0" w:evenVBand="0" w:oddHBand="0" w:evenHBand="0" w:firstRowFirstColumn="0" w:firstRowLastColumn="0" w:lastRowFirstColumn="0" w:lastRowLastColumn="0"/>
            <w:tcW w:w="1198" w:type="pct"/>
          </w:tcPr>
          <w:p w14:paraId="0C703D9B" w14:textId="77777777" w:rsidR="009E5D83" w:rsidRPr="005E0DBD" w:rsidRDefault="009E5D83" w:rsidP="009E5D83">
            <w:pPr>
              <w:spacing w:line="276" w:lineRule="auto"/>
              <w:ind w:left="171"/>
              <w:jc w:val="both"/>
              <w:rPr>
                <w:rFonts w:ascii="Arial Narrow" w:hAnsi="Arial Narrow"/>
              </w:rPr>
            </w:pPr>
            <w:r w:rsidRPr="005E0DBD">
              <w:rPr>
                <w:rFonts w:ascii="Arial Narrow" w:hAnsi="Arial Narrow"/>
              </w:rPr>
              <w:t>Gasoline and Diesel</w:t>
            </w:r>
          </w:p>
        </w:tc>
        <w:tc>
          <w:tcPr>
            <w:tcW w:w="760" w:type="pct"/>
          </w:tcPr>
          <w:p w14:paraId="48F8258C" w14:textId="08CE4EC9"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46,400</w:t>
            </w:r>
          </w:p>
        </w:tc>
        <w:tc>
          <w:tcPr>
            <w:tcW w:w="760" w:type="pct"/>
          </w:tcPr>
          <w:p w14:paraId="72C53536" w14:textId="6DB125DF"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44,900</w:t>
            </w:r>
          </w:p>
        </w:tc>
        <w:tc>
          <w:tcPr>
            <w:tcW w:w="761" w:type="pct"/>
          </w:tcPr>
          <w:p w14:paraId="12975227" w14:textId="4006C656"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42,500</w:t>
            </w:r>
          </w:p>
        </w:tc>
        <w:tc>
          <w:tcPr>
            <w:tcW w:w="760" w:type="pct"/>
          </w:tcPr>
          <w:p w14:paraId="52376D9F" w14:textId="5EF3A17D"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45,600</w:t>
            </w:r>
          </w:p>
        </w:tc>
        <w:tc>
          <w:tcPr>
            <w:tcW w:w="761" w:type="pct"/>
          </w:tcPr>
          <w:p w14:paraId="4CFD18EF" w14:textId="73D08C6C" w:rsidR="009E5D83" w:rsidRPr="00306771" w:rsidRDefault="00563F4C"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w:t>
            </w:r>
            <w:r w:rsidR="009E5D83" w:rsidRPr="00C22F21">
              <w:rPr>
                <w:rFonts w:ascii="Arial Narrow" w:hAnsi="Arial Narrow"/>
                <w:sz w:val="20"/>
              </w:rPr>
              <w:t>%</w:t>
            </w:r>
          </w:p>
        </w:tc>
      </w:tr>
    </w:tbl>
    <w:tbl>
      <w:tblPr>
        <w:tblStyle w:val="GridTable4-Accent61"/>
        <w:tblW w:w="5000" w:type="pct"/>
        <w:tblLayout w:type="fixed"/>
        <w:tblLook w:val="04A0" w:firstRow="1" w:lastRow="0" w:firstColumn="1" w:lastColumn="0" w:noHBand="0" w:noVBand="1"/>
      </w:tblPr>
      <w:tblGrid>
        <w:gridCol w:w="2266"/>
        <w:gridCol w:w="1417"/>
        <w:gridCol w:w="1417"/>
        <w:gridCol w:w="1417"/>
        <w:gridCol w:w="1417"/>
        <w:gridCol w:w="1416"/>
      </w:tblGrid>
      <w:tr w:rsidR="0072092A" w:rsidRPr="005E0DBD" w14:paraId="3F004656" w14:textId="356848A5" w:rsidTr="007209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vAlign w:val="center"/>
          </w:tcPr>
          <w:p w14:paraId="34A0F970" w14:textId="438726DB" w:rsidR="009E5D83" w:rsidRPr="005E0DBD" w:rsidRDefault="009E5D83" w:rsidP="00306771">
            <w:pPr>
              <w:spacing w:line="276" w:lineRule="auto"/>
              <w:rPr>
                <w:rFonts w:ascii="Arial Narrow" w:hAnsi="Arial Narrow"/>
              </w:rPr>
            </w:pPr>
            <w:r w:rsidRPr="005E0DBD">
              <w:rPr>
                <w:rFonts w:ascii="Arial Narrow" w:hAnsi="Arial Narrow"/>
              </w:rPr>
              <w:t>Energy Consumption (MMBtu)</w:t>
            </w:r>
          </w:p>
        </w:tc>
        <w:tc>
          <w:tcPr>
            <w:tcW w:w="758" w:type="pct"/>
            <w:vAlign w:val="center"/>
          </w:tcPr>
          <w:p w14:paraId="1E8E10B6" w14:textId="32EA6F5C" w:rsidR="009E5D83" w:rsidRPr="005E0DBD" w:rsidRDefault="009E5D83" w:rsidP="00394C1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Current</w:t>
            </w:r>
          </w:p>
        </w:tc>
        <w:tc>
          <w:tcPr>
            <w:tcW w:w="758" w:type="pct"/>
            <w:vAlign w:val="center"/>
          </w:tcPr>
          <w:p w14:paraId="4B23D37C" w14:textId="66BEE10E" w:rsidR="009E5D83" w:rsidRPr="005E0DBD" w:rsidRDefault="009E5D83" w:rsidP="00394C1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2020</w:t>
            </w:r>
          </w:p>
        </w:tc>
        <w:tc>
          <w:tcPr>
            <w:tcW w:w="758" w:type="pct"/>
            <w:vAlign w:val="center"/>
          </w:tcPr>
          <w:p w14:paraId="38750CD2" w14:textId="43CCBE9C" w:rsidR="009E5D83" w:rsidRPr="005E0DBD" w:rsidRDefault="009E5D83" w:rsidP="00394C1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2030</w:t>
            </w:r>
          </w:p>
        </w:tc>
        <w:tc>
          <w:tcPr>
            <w:tcW w:w="758" w:type="pct"/>
            <w:vAlign w:val="center"/>
          </w:tcPr>
          <w:p w14:paraId="7D79A6C8" w14:textId="20B94F6D" w:rsidR="009E5D83" w:rsidRPr="005E0DBD" w:rsidRDefault="009E5D83" w:rsidP="00394C1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2050</w:t>
            </w:r>
          </w:p>
        </w:tc>
        <w:tc>
          <w:tcPr>
            <w:tcW w:w="758" w:type="pct"/>
            <w:vAlign w:val="center"/>
          </w:tcPr>
          <w:p w14:paraId="7CB7A0A7" w14:textId="4C786D41" w:rsidR="009E5D83" w:rsidRPr="005E0DBD" w:rsidRDefault="009E5D83" w:rsidP="009E5D83">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2234D7">
              <w:rPr>
                <w:rFonts w:ascii="Arial Narrow" w:hAnsi="Arial Narrow"/>
                <w:sz w:val="18"/>
              </w:rPr>
              <w:t>% Change from Current by 2050</w:t>
            </w:r>
          </w:p>
        </w:tc>
      </w:tr>
      <w:tr w:rsidR="009E5D83" w:rsidRPr="005E0DBD" w14:paraId="1B6A7101" w14:textId="2B9B2825"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72C2B00D" w14:textId="4A427AD0" w:rsidR="009E5D83" w:rsidRPr="005E0DBD" w:rsidRDefault="009E5D83" w:rsidP="009E5D83">
            <w:pPr>
              <w:spacing w:line="276" w:lineRule="auto"/>
              <w:rPr>
                <w:rFonts w:ascii="Arial Narrow" w:hAnsi="Arial Narrow"/>
              </w:rPr>
            </w:pPr>
            <w:r>
              <w:rPr>
                <w:rFonts w:ascii="Arial Narrow" w:hAnsi="Arial Narrow"/>
              </w:rPr>
              <w:t>Total</w:t>
            </w:r>
            <w:r w:rsidR="0072092A">
              <w:rPr>
                <w:rFonts w:ascii="Arial Narrow" w:hAnsi="Arial Narrow"/>
              </w:rPr>
              <w:t>*</w:t>
            </w:r>
          </w:p>
        </w:tc>
        <w:tc>
          <w:tcPr>
            <w:tcW w:w="758" w:type="pct"/>
          </w:tcPr>
          <w:p w14:paraId="31E8CBB3" w14:textId="7B586C22"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1,061,200</w:t>
            </w:r>
          </w:p>
        </w:tc>
        <w:tc>
          <w:tcPr>
            <w:tcW w:w="758" w:type="pct"/>
          </w:tcPr>
          <w:p w14:paraId="4ADB57EF" w14:textId="0A394E90"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1,057,800</w:t>
            </w:r>
          </w:p>
        </w:tc>
        <w:tc>
          <w:tcPr>
            <w:tcW w:w="758" w:type="pct"/>
          </w:tcPr>
          <w:p w14:paraId="5BC957B8" w14:textId="5387A7AE"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1,126,300</w:t>
            </w:r>
          </w:p>
        </w:tc>
        <w:tc>
          <w:tcPr>
            <w:tcW w:w="758" w:type="pct"/>
          </w:tcPr>
          <w:p w14:paraId="56371D43" w14:textId="16388EFD"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1,220,700</w:t>
            </w:r>
          </w:p>
        </w:tc>
        <w:tc>
          <w:tcPr>
            <w:tcW w:w="758" w:type="pct"/>
          </w:tcPr>
          <w:p w14:paraId="7A5FE87B" w14:textId="22A7EDEB"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C22F21">
              <w:rPr>
                <w:rFonts w:ascii="Arial Narrow" w:hAnsi="Arial Narrow"/>
                <w:sz w:val="20"/>
              </w:rPr>
              <w:t>+</w:t>
            </w:r>
            <w:r w:rsidR="00563F4C">
              <w:rPr>
                <w:rFonts w:ascii="Arial Narrow" w:hAnsi="Arial Narrow"/>
                <w:sz w:val="20"/>
              </w:rPr>
              <w:t>1</w:t>
            </w:r>
            <w:r w:rsidRPr="00C22F21">
              <w:rPr>
                <w:rFonts w:ascii="Arial Narrow" w:hAnsi="Arial Narrow"/>
                <w:sz w:val="20"/>
              </w:rPr>
              <w:t>5%</w:t>
            </w:r>
          </w:p>
        </w:tc>
      </w:tr>
      <w:tr w:rsidR="009E5D83" w:rsidRPr="005E0DBD" w14:paraId="4F2772A6" w14:textId="4C66BD1B" w:rsidTr="00394C10">
        <w:tc>
          <w:tcPr>
            <w:cnfStyle w:val="001000000000" w:firstRow="0" w:lastRow="0" w:firstColumn="1" w:lastColumn="0" w:oddVBand="0" w:evenVBand="0" w:oddHBand="0" w:evenHBand="0" w:firstRowFirstColumn="0" w:firstRowLastColumn="0" w:lastRowFirstColumn="0" w:lastRowLastColumn="0"/>
            <w:tcW w:w="1211" w:type="pct"/>
          </w:tcPr>
          <w:p w14:paraId="08971881" w14:textId="77777777" w:rsidR="009E5D83" w:rsidRPr="005E0DBD" w:rsidRDefault="009E5D83" w:rsidP="009E5D83">
            <w:pPr>
              <w:spacing w:line="276" w:lineRule="auto"/>
              <w:jc w:val="both"/>
              <w:rPr>
                <w:rFonts w:ascii="Arial Narrow" w:hAnsi="Arial Narrow"/>
                <w:i/>
              </w:rPr>
            </w:pPr>
            <w:r w:rsidRPr="005E0DBD">
              <w:rPr>
                <w:rFonts w:ascii="Arial Narrow" w:hAnsi="Arial Narrow"/>
                <w:i/>
              </w:rPr>
              <w:t>by sector</w:t>
            </w:r>
          </w:p>
        </w:tc>
        <w:tc>
          <w:tcPr>
            <w:tcW w:w="758" w:type="pct"/>
          </w:tcPr>
          <w:p w14:paraId="2793B660" w14:textId="77777777"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i/>
                <w:sz w:val="20"/>
              </w:rPr>
            </w:pPr>
          </w:p>
        </w:tc>
        <w:tc>
          <w:tcPr>
            <w:tcW w:w="758" w:type="pct"/>
          </w:tcPr>
          <w:p w14:paraId="68C84C7A" w14:textId="77777777"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i/>
                <w:sz w:val="20"/>
              </w:rPr>
            </w:pPr>
          </w:p>
        </w:tc>
        <w:tc>
          <w:tcPr>
            <w:tcW w:w="758" w:type="pct"/>
          </w:tcPr>
          <w:p w14:paraId="672AC8B9" w14:textId="77777777"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i/>
                <w:sz w:val="20"/>
              </w:rPr>
            </w:pPr>
          </w:p>
        </w:tc>
        <w:tc>
          <w:tcPr>
            <w:tcW w:w="758" w:type="pct"/>
          </w:tcPr>
          <w:p w14:paraId="6F634A54" w14:textId="77777777"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i/>
                <w:sz w:val="20"/>
              </w:rPr>
            </w:pPr>
          </w:p>
        </w:tc>
        <w:tc>
          <w:tcPr>
            <w:tcW w:w="758" w:type="pct"/>
          </w:tcPr>
          <w:p w14:paraId="1C71898E" w14:textId="77777777"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i/>
                <w:sz w:val="20"/>
              </w:rPr>
            </w:pPr>
          </w:p>
        </w:tc>
      </w:tr>
      <w:tr w:rsidR="009E5D83" w:rsidRPr="005E0DBD" w14:paraId="6F970B83" w14:textId="4AB6D0C5"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37662724" w14:textId="77777777" w:rsidR="009E5D83" w:rsidRPr="005E0DBD" w:rsidRDefault="009E5D83" w:rsidP="009E5D83">
            <w:pPr>
              <w:spacing w:line="276" w:lineRule="auto"/>
              <w:ind w:left="171"/>
              <w:jc w:val="both"/>
              <w:rPr>
                <w:rFonts w:ascii="Arial Narrow" w:hAnsi="Arial Narrow"/>
              </w:rPr>
            </w:pPr>
            <w:r w:rsidRPr="005E0DBD">
              <w:rPr>
                <w:rFonts w:ascii="Arial Narrow" w:hAnsi="Arial Narrow"/>
              </w:rPr>
              <w:t>Buildings</w:t>
            </w:r>
          </w:p>
        </w:tc>
        <w:tc>
          <w:tcPr>
            <w:tcW w:w="758" w:type="pct"/>
          </w:tcPr>
          <w:p w14:paraId="64F86BF0" w14:textId="0028B988"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443,700</w:t>
            </w:r>
          </w:p>
        </w:tc>
        <w:tc>
          <w:tcPr>
            <w:tcW w:w="758" w:type="pct"/>
          </w:tcPr>
          <w:p w14:paraId="2951CA8E" w14:textId="147D2E84"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459,800</w:t>
            </w:r>
          </w:p>
        </w:tc>
        <w:tc>
          <w:tcPr>
            <w:tcW w:w="758" w:type="pct"/>
          </w:tcPr>
          <w:p w14:paraId="41D4606F" w14:textId="216E2777"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552,600</w:t>
            </w:r>
          </w:p>
        </w:tc>
        <w:tc>
          <w:tcPr>
            <w:tcW w:w="758" w:type="pct"/>
          </w:tcPr>
          <w:p w14:paraId="0B845AAB" w14:textId="19ECCBD6"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592,900</w:t>
            </w:r>
          </w:p>
        </w:tc>
        <w:tc>
          <w:tcPr>
            <w:tcW w:w="758" w:type="pct"/>
          </w:tcPr>
          <w:p w14:paraId="6273FAA5" w14:textId="1C6B1EC3" w:rsidR="009E5D83" w:rsidRPr="00394C10" w:rsidRDefault="00563F4C"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+3</w:t>
            </w:r>
            <w:r w:rsidR="009E5D83" w:rsidRPr="00C22F21">
              <w:rPr>
                <w:rFonts w:ascii="Arial Narrow" w:hAnsi="Arial Narrow"/>
                <w:sz w:val="20"/>
              </w:rPr>
              <w:t>4%</w:t>
            </w:r>
          </w:p>
        </w:tc>
      </w:tr>
      <w:tr w:rsidR="009E5D83" w:rsidRPr="005E0DBD" w14:paraId="1CA407C3" w14:textId="1663670F" w:rsidTr="00394C10">
        <w:tc>
          <w:tcPr>
            <w:cnfStyle w:val="001000000000" w:firstRow="0" w:lastRow="0" w:firstColumn="1" w:lastColumn="0" w:oddVBand="0" w:evenVBand="0" w:oddHBand="0" w:evenHBand="0" w:firstRowFirstColumn="0" w:firstRowLastColumn="0" w:lastRowFirstColumn="0" w:lastRowLastColumn="0"/>
            <w:tcW w:w="1211" w:type="pct"/>
          </w:tcPr>
          <w:p w14:paraId="10A1A60A" w14:textId="2C548EC9" w:rsidR="009E5D83" w:rsidRPr="005E0DBD" w:rsidRDefault="009E5D83" w:rsidP="009E5D83">
            <w:pPr>
              <w:spacing w:line="276" w:lineRule="auto"/>
              <w:ind w:left="171"/>
              <w:jc w:val="both"/>
              <w:rPr>
                <w:rFonts w:ascii="Arial Narrow" w:hAnsi="Arial Narrow"/>
              </w:rPr>
            </w:pPr>
            <w:r w:rsidRPr="005E0DBD">
              <w:rPr>
                <w:rFonts w:ascii="Arial Narrow" w:hAnsi="Arial Narrow"/>
              </w:rPr>
              <w:t>Transportation</w:t>
            </w:r>
          </w:p>
        </w:tc>
        <w:tc>
          <w:tcPr>
            <w:tcW w:w="758" w:type="pct"/>
          </w:tcPr>
          <w:p w14:paraId="246B9471" w14:textId="42F677C8"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617,500</w:t>
            </w:r>
          </w:p>
        </w:tc>
        <w:tc>
          <w:tcPr>
            <w:tcW w:w="758" w:type="pct"/>
          </w:tcPr>
          <w:p w14:paraId="4E2A7F7A" w14:textId="045E076E"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597,900</w:t>
            </w:r>
          </w:p>
        </w:tc>
        <w:tc>
          <w:tcPr>
            <w:tcW w:w="758" w:type="pct"/>
          </w:tcPr>
          <w:p w14:paraId="4F694FA6" w14:textId="264FBD49"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573,600</w:t>
            </w:r>
          </w:p>
        </w:tc>
        <w:tc>
          <w:tcPr>
            <w:tcW w:w="758" w:type="pct"/>
          </w:tcPr>
          <w:p w14:paraId="16217577" w14:textId="5C1D6772"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627,800</w:t>
            </w:r>
          </w:p>
        </w:tc>
        <w:tc>
          <w:tcPr>
            <w:tcW w:w="758" w:type="pct"/>
          </w:tcPr>
          <w:p w14:paraId="7E755920" w14:textId="7DE08DF3" w:rsidR="009E5D83" w:rsidRPr="00394C10" w:rsidRDefault="00563F4C"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w:t>
            </w:r>
            <w:r w:rsidR="009E5D83" w:rsidRPr="00C22F21">
              <w:rPr>
                <w:rFonts w:ascii="Arial Narrow" w:hAnsi="Arial Narrow"/>
                <w:sz w:val="20"/>
              </w:rPr>
              <w:t>%</w:t>
            </w:r>
          </w:p>
        </w:tc>
      </w:tr>
      <w:tr w:rsidR="009E5D83" w:rsidRPr="005E0DBD" w14:paraId="0A1AFF35" w14:textId="76E9270B"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5BCA79C9" w14:textId="77777777" w:rsidR="009E5D83" w:rsidRPr="005E0DBD" w:rsidRDefault="009E5D83" w:rsidP="009E5D83">
            <w:pPr>
              <w:spacing w:line="276" w:lineRule="auto"/>
              <w:jc w:val="both"/>
              <w:rPr>
                <w:rFonts w:ascii="Arial Narrow" w:hAnsi="Arial Narrow"/>
                <w:i/>
              </w:rPr>
            </w:pPr>
            <w:r w:rsidRPr="005E0DBD">
              <w:rPr>
                <w:rFonts w:ascii="Arial Narrow" w:hAnsi="Arial Narrow"/>
                <w:i/>
              </w:rPr>
              <w:t>by fuel type</w:t>
            </w:r>
          </w:p>
        </w:tc>
        <w:tc>
          <w:tcPr>
            <w:tcW w:w="758" w:type="pct"/>
          </w:tcPr>
          <w:p w14:paraId="01AF0BD6" w14:textId="77777777"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58" w:type="pct"/>
          </w:tcPr>
          <w:p w14:paraId="3365AEDD" w14:textId="77777777"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58" w:type="pct"/>
          </w:tcPr>
          <w:p w14:paraId="5EF22EE0" w14:textId="77777777"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58" w:type="pct"/>
          </w:tcPr>
          <w:p w14:paraId="0BFD2903" w14:textId="77777777"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58" w:type="pct"/>
          </w:tcPr>
          <w:p w14:paraId="698BCC1A" w14:textId="77777777"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r>
      <w:tr w:rsidR="009E5D83" w:rsidRPr="005E0DBD" w14:paraId="5BD21FEB" w14:textId="3321EC12" w:rsidTr="00394C10">
        <w:tc>
          <w:tcPr>
            <w:cnfStyle w:val="001000000000" w:firstRow="0" w:lastRow="0" w:firstColumn="1" w:lastColumn="0" w:oddVBand="0" w:evenVBand="0" w:oddHBand="0" w:evenHBand="0" w:firstRowFirstColumn="0" w:firstRowLastColumn="0" w:lastRowFirstColumn="0" w:lastRowLastColumn="0"/>
            <w:tcW w:w="1211" w:type="pct"/>
          </w:tcPr>
          <w:p w14:paraId="48BD40B0" w14:textId="77777777" w:rsidR="009E5D83" w:rsidRPr="005E0DBD" w:rsidRDefault="009E5D83" w:rsidP="009E5D83">
            <w:pPr>
              <w:spacing w:line="276" w:lineRule="auto"/>
              <w:ind w:left="171"/>
              <w:jc w:val="both"/>
              <w:rPr>
                <w:rFonts w:ascii="Arial Narrow" w:hAnsi="Arial Narrow"/>
              </w:rPr>
            </w:pPr>
            <w:r w:rsidRPr="005E0DBD">
              <w:rPr>
                <w:rFonts w:ascii="Arial Narrow" w:hAnsi="Arial Narrow"/>
              </w:rPr>
              <w:t>Electricity</w:t>
            </w:r>
          </w:p>
        </w:tc>
        <w:tc>
          <w:tcPr>
            <w:tcW w:w="758" w:type="pct"/>
          </w:tcPr>
          <w:p w14:paraId="1F676EC4" w14:textId="6F1656A7"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218,700</w:t>
            </w:r>
          </w:p>
        </w:tc>
        <w:tc>
          <w:tcPr>
            <w:tcW w:w="758" w:type="pct"/>
          </w:tcPr>
          <w:p w14:paraId="5E110BF9" w14:textId="4707477E"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225,000</w:t>
            </w:r>
          </w:p>
        </w:tc>
        <w:tc>
          <w:tcPr>
            <w:tcW w:w="758" w:type="pct"/>
          </w:tcPr>
          <w:p w14:paraId="4F054731" w14:textId="7D4E8C4E"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261,400</w:t>
            </w:r>
          </w:p>
        </w:tc>
        <w:tc>
          <w:tcPr>
            <w:tcW w:w="758" w:type="pct"/>
          </w:tcPr>
          <w:p w14:paraId="188906AF" w14:textId="49697CE1"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287,600</w:t>
            </w:r>
          </w:p>
        </w:tc>
        <w:tc>
          <w:tcPr>
            <w:tcW w:w="758" w:type="pct"/>
          </w:tcPr>
          <w:p w14:paraId="376A3439" w14:textId="232DAC4F" w:rsidR="009E5D83" w:rsidRPr="00394C10" w:rsidRDefault="00563F4C"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+32</w:t>
            </w:r>
            <w:r w:rsidR="009E5D83" w:rsidRPr="00C22F21">
              <w:rPr>
                <w:rFonts w:ascii="Arial Narrow" w:hAnsi="Arial Narrow"/>
                <w:sz w:val="20"/>
              </w:rPr>
              <w:t>%</w:t>
            </w:r>
          </w:p>
        </w:tc>
      </w:tr>
      <w:tr w:rsidR="009E5D83" w:rsidRPr="005E0DBD" w14:paraId="719E7071" w14:textId="006245B4"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271F6AFD" w14:textId="77777777" w:rsidR="009E5D83" w:rsidRPr="005E0DBD" w:rsidRDefault="009E5D83" w:rsidP="009E5D83">
            <w:pPr>
              <w:spacing w:line="276" w:lineRule="auto"/>
              <w:ind w:left="171"/>
              <w:jc w:val="both"/>
              <w:rPr>
                <w:rFonts w:ascii="Arial Narrow" w:hAnsi="Arial Narrow"/>
              </w:rPr>
            </w:pPr>
            <w:r w:rsidRPr="005E0DBD">
              <w:rPr>
                <w:rFonts w:ascii="Arial Narrow" w:hAnsi="Arial Narrow"/>
              </w:rPr>
              <w:t>Natural Gas</w:t>
            </w:r>
          </w:p>
        </w:tc>
        <w:tc>
          <w:tcPr>
            <w:tcW w:w="758" w:type="pct"/>
          </w:tcPr>
          <w:p w14:paraId="7B5845F8" w14:textId="6EE896FB"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227,500</w:t>
            </w:r>
          </w:p>
        </w:tc>
        <w:tc>
          <w:tcPr>
            <w:tcW w:w="758" w:type="pct"/>
          </w:tcPr>
          <w:p w14:paraId="0481480A" w14:textId="6BF513D1"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237,600</w:t>
            </w:r>
          </w:p>
        </w:tc>
        <w:tc>
          <w:tcPr>
            <w:tcW w:w="758" w:type="pct"/>
          </w:tcPr>
          <w:p w14:paraId="6EB54E5E" w14:textId="340623D9"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259,600</w:t>
            </w:r>
          </w:p>
        </w:tc>
        <w:tc>
          <w:tcPr>
            <w:tcW w:w="758" w:type="pct"/>
          </w:tcPr>
          <w:p w14:paraId="3C8C68D4" w14:textId="6A9A1D76" w:rsidR="009E5D83" w:rsidRPr="00394C10" w:rsidRDefault="009E5D83"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320,700</w:t>
            </w:r>
          </w:p>
        </w:tc>
        <w:tc>
          <w:tcPr>
            <w:tcW w:w="758" w:type="pct"/>
          </w:tcPr>
          <w:p w14:paraId="5518B972" w14:textId="47ACE055" w:rsidR="009E5D83" w:rsidRPr="00394C10" w:rsidRDefault="00563F4C" w:rsidP="009E5D83">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+41</w:t>
            </w:r>
            <w:r w:rsidR="009E5D83" w:rsidRPr="00C22F21">
              <w:rPr>
                <w:rFonts w:ascii="Arial Narrow" w:hAnsi="Arial Narrow"/>
                <w:sz w:val="20"/>
              </w:rPr>
              <w:t>%</w:t>
            </w:r>
          </w:p>
        </w:tc>
      </w:tr>
      <w:tr w:rsidR="009E5D83" w:rsidRPr="005E0DBD" w14:paraId="0348A604" w14:textId="308F26F4" w:rsidTr="00394C10">
        <w:tc>
          <w:tcPr>
            <w:cnfStyle w:val="001000000000" w:firstRow="0" w:lastRow="0" w:firstColumn="1" w:lastColumn="0" w:oddVBand="0" w:evenVBand="0" w:oddHBand="0" w:evenHBand="0" w:firstRowFirstColumn="0" w:firstRowLastColumn="0" w:lastRowFirstColumn="0" w:lastRowLastColumn="0"/>
            <w:tcW w:w="1211" w:type="pct"/>
          </w:tcPr>
          <w:p w14:paraId="664CA0AD" w14:textId="77777777" w:rsidR="009E5D83" w:rsidRPr="005E0DBD" w:rsidRDefault="009E5D83" w:rsidP="009E5D83">
            <w:pPr>
              <w:spacing w:line="276" w:lineRule="auto"/>
              <w:ind w:left="171"/>
              <w:jc w:val="both"/>
              <w:rPr>
                <w:rFonts w:ascii="Arial Narrow" w:hAnsi="Arial Narrow"/>
              </w:rPr>
            </w:pPr>
            <w:r w:rsidRPr="005E0DBD">
              <w:rPr>
                <w:rFonts w:ascii="Arial Narrow" w:hAnsi="Arial Narrow"/>
              </w:rPr>
              <w:t>Gasoline and Diesel</w:t>
            </w:r>
          </w:p>
        </w:tc>
        <w:tc>
          <w:tcPr>
            <w:tcW w:w="758" w:type="pct"/>
          </w:tcPr>
          <w:p w14:paraId="24BCEFFB" w14:textId="35692BB5"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615,000</w:t>
            </w:r>
          </w:p>
        </w:tc>
        <w:tc>
          <w:tcPr>
            <w:tcW w:w="758" w:type="pct"/>
          </w:tcPr>
          <w:p w14:paraId="7F4F2F92" w14:textId="1EBE918D"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595,100</w:t>
            </w:r>
          </w:p>
        </w:tc>
        <w:tc>
          <w:tcPr>
            <w:tcW w:w="758" w:type="pct"/>
          </w:tcPr>
          <w:p w14:paraId="1BE0E782" w14:textId="0FE29D0D"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569,300</w:t>
            </w:r>
          </w:p>
        </w:tc>
        <w:tc>
          <w:tcPr>
            <w:tcW w:w="758" w:type="pct"/>
          </w:tcPr>
          <w:p w14:paraId="1E1E1642" w14:textId="03AFB280" w:rsidR="009E5D83" w:rsidRPr="00394C10" w:rsidRDefault="009E5D83"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612,400</w:t>
            </w:r>
          </w:p>
        </w:tc>
        <w:tc>
          <w:tcPr>
            <w:tcW w:w="758" w:type="pct"/>
          </w:tcPr>
          <w:p w14:paraId="7ED62D03" w14:textId="4660F333" w:rsidR="009E5D83" w:rsidRPr="00394C10" w:rsidRDefault="00563F4C" w:rsidP="009E5D83">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0</w:t>
            </w:r>
            <w:r w:rsidR="009E5D83" w:rsidRPr="00C22F21">
              <w:rPr>
                <w:rFonts w:ascii="Arial Narrow" w:hAnsi="Arial Narrow"/>
                <w:sz w:val="20"/>
              </w:rPr>
              <w:t>%</w:t>
            </w:r>
          </w:p>
        </w:tc>
      </w:tr>
    </w:tbl>
    <w:p w14:paraId="759D800C" w14:textId="77777777" w:rsidR="00C14039" w:rsidRPr="00394C10" w:rsidRDefault="00C14039" w:rsidP="00C14039">
      <w:pPr>
        <w:spacing w:line="276" w:lineRule="auto"/>
        <w:jc w:val="both"/>
        <w:rPr>
          <w:rFonts w:ascii="Arial Narrow" w:eastAsia="MS Mincho" w:hAnsi="Arial Narrow"/>
          <w:sz w:val="18"/>
          <w:szCs w:val="24"/>
        </w:rPr>
      </w:pPr>
      <w:r w:rsidRPr="00394C10">
        <w:rPr>
          <w:rFonts w:ascii="Arial Narrow" w:eastAsia="MS Mincho" w:hAnsi="Arial Narrow"/>
          <w:sz w:val="18"/>
          <w:szCs w:val="24"/>
        </w:rPr>
        <w:t>*Numbers may not sum due to rounding.</w:t>
      </w:r>
    </w:p>
    <w:p w14:paraId="3E2E2D83" w14:textId="77777777" w:rsidR="00C14039" w:rsidRPr="00306771" w:rsidRDefault="00C14039" w:rsidP="00394C10">
      <w:pPr>
        <w:pStyle w:val="Heading3"/>
      </w:pPr>
      <w:bookmarkStart w:id="14" w:name="_Toc460348779"/>
      <w:r w:rsidRPr="00306771">
        <w:t>Buildings</w:t>
      </w:r>
      <w:bookmarkEnd w:id="14"/>
    </w:p>
    <w:p w14:paraId="0597B8D8" w14:textId="13738452" w:rsidR="00D73DE2" w:rsidRDefault="00C14039" w:rsidP="00C14039">
      <w:pPr>
        <w:numPr>
          <w:ilvl w:val="0"/>
          <w:numId w:val="11"/>
        </w:numPr>
        <w:spacing w:line="276" w:lineRule="auto"/>
        <w:contextualSpacing/>
        <w:jc w:val="both"/>
        <w:rPr>
          <w:rFonts w:ascii="Arial Narrow" w:eastAsia="MS Mincho" w:hAnsi="Arial Narrow"/>
          <w:sz w:val="24"/>
          <w:szCs w:val="24"/>
        </w:rPr>
      </w:pPr>
      <w:r w:rsidRPr="00B67C60">
        <w:rPr>
          <w:rFonts w:ascii="Arial Narrow" w:eastAsia="MS Mincho" w:hAnsi="Arial Narrow"/>
          <w:sz w:val="24"/>
          <w:szCs w:val="24"/>
        </w:rPr>
        <w:t xml:space="preserve">The </w:t>
      </w:r>
      <w:r w:rsidR="00336BB8">
        <w:rPr>
          <w:rFonts w:ascii="Arial Narrow" w:eastAsia="MS Mincho" w:hAnsi="Arial Narrow"/>
          <w:i/>
          <w:sz w:val="24"/>
          <w:szCs w:val="24"/>
        </w:rPr>
        <w:t xml:space="preserve">Baseline Scenario </w:t>
      </w:r>
      <w:r w:rsidRPr="00B67C60">
        <w:rPr>
          <w:rFonts w:ascii="Arial Narrow" w:eastAsia="MS Mincho" w:hAnsi="Arial Narrow"/>
          <w:sz w:val="24"/>
          <w:szCs w:val="24"/>
        </w:rPr>
        <w:t>assumes</w:t>
      </w:r>
      <w:r w:rsidR="001E4B56">
        <w:rPr>
          <w:rFonts w:ascii="Arial Narrow" w:eastAsia="MS Mincho" w:hAnsi="Arial Narrow"/>
          <w:sz w:val="24"/>
          <w:szCs w:val="24"/>
        </w:rPr>
        <w:t xml:space="preserve"> that</w:t>
      </w:r>
      <w:r w:rsidRPr="00B67C60">
        <w:rPr>
          <w:rFonts w:ascii="Arial Narrow" w:eastAsia="MS Mincho" w:hAnsi="Arial Narrow"/>
          <w:sz w:val="24"/>
          <w:szCs w:val="24"/>
        </w:rPr>
        <w:t xml:space="preserve"> Minnesota’s building code </w:t>
      </w:r>
      <w:r w:rsidR="001E4B56">
        <w:rPr>
          <w:rFonts w:ascii="Arial Narrow" w:eastAsia="MS Mincho" w:hAnsi="Arial Narrow"/>
          <w:sz w:val="24"/>
          <w:szCs w:val="24"/>
        </w:rPr>
        <w:t>will continue</w:t>
      </w:r>
      <w:r w:rsidRPr="00B67C60">
        <w:rPr>
          <w:rFonts w:ascii="Arial Narrow" w:eastAsia="MS Mincho" w:hAnsi="Arial Narrow"/>
          <w:sz w:val="24"/>
          <w:szCs w:val="24"/>
        </w:rPr>
        <w:t xml:space="preserve"> to follow the International Energy Conservation Codes (</w:t>
      </w:r>
      <w:r w:rsidR="001E4B56">
        <w:rPr>
          <w:rFonts w:ascii="Arial Narrow" w:eastAsia="MS Mincho" w:hAnsi="Arial Narrow"/>
          <w:sz w:val="24"/>
          <w:szCs w:val="24"/>
        </w:rPr>
        <w:t xml:space="preserve">i.e. </w:t>
      </w:r>
      <w:r w:rsidRPr="00B67C60">
        <w:rPr>
          <w:rFonts w:ascii="Arial Narrow" w:eastAsia="MS Mincho" w:hAnsi="Arial Narrow"/>
          <w:sz w:val="24"/>
          <w:szCs w:val="24"/>
        </w:rPr>
        <w:t>become more stringent until 2030, then remain static until 2050).</w:t>
      </w:r>
    </w:p>
    <w:p w14:paraId="56F39D1F" w14:textId="77777777" w:rsidR="007D4DEF" w:rsidRPr="00306771" w:rsidRDefault="00C14039" w:rsidP="00394C10">
      <w:pPr>
        <w:pStyle w:val="Heading3"/>
      </w:pPr>
      <w:bookmarkStart w:id="15" w:name="_Toc460348780"/>
      <w:r w:rsidRPr="00306771">
        <w:t>Transportation</w:t>
      </w:r>
      <w:bookmarkEnd w:id="15"/>
    </w:p>
    <w:p w14:paraId="5ADF9151" w14:textId="4A79615A" w:rsidR="00C14039" w:rsidRPr="00B67C60" w:rsidRDefault="00C14039" w:rsidP="00C14039">
      <w:pPr>
        <w:numPr>
          <w:ilvl w:val="0"/>
          <w:numId w:val="11"/>
        </w:numPr>
        <w:spacing w:line="276" w:lineRule="auto"/>
        <w:contextualSpacing/>
        <w:jc w:val="both"/>
        <w:rPr>
          <w:rFonts w:ascii="Arial Narrow" w:eastAsia="MS Mincho" w:hAnsi="Arial Narrow"/>
          <w:sz w:val="24"/>
          <w:szCs w:val="24"/>
        </w:rPr>
      </w:pPr>
      <w:r w:rsidRPr="00B67C60">
        <w:rPr>
          <w:rFonts w:ascii="Arial Narrow" w:eastAsia="MS Mincho" w:hAnsi="Arial Narrow"/>
          <w:sz w:val="24"/>
          <w:szCs w:val="24"/>
        </w:rPr>
        <w:t xml:space="preserve">Passenger vehicle fuel efficiencies </w:t>
      </w:r>
      <w:r w:rsidR="001E4B56">
        <w:rPr>
          <w:rFonts w:ascii="Arial Narrow" w:eastAsia="MS Mincho" w:hAnsi="Arial Narrow"/>
          <w:sz w:val="24"/>
          <w:szCs w:val="24"/>
        </w:rPr>
        <w:t xml:space="preserve">are assumed to </w:t>
      </w:r>
      <w:r w:rsidRPr="00B67C60">
        <w:rPr>
          <w:rFonts w:ascii="Arial Narrow" w:eastAsia="MS Mincho" w:hAnsi="Arial Narrow"/>
          <w:sz w:val="24"/>
          <w:szCs w:val="24"/>
        </w:rPr>
        <w:t xml:space="preserve">steadily improve until 2025 as a result of the federal Corporate Average Fuel Economy (CAFE) Standard, then remain static. </w:t>
      </w:r>
    </w:p>
    <w:p w14:paraId="4DD6AF36" w14:textId="51C83BC9" w:rsidR="00C14039" w:rsidRPr="00B67C60" w:rsidRDefault="00C14039" w:rsidP="00C14039">
      <w:pPr>
        <w:numPr>
          <w:ilvl w:val="0"/>
          <w:numId w:val="11"/>
        </w:numPr>
        <w:spacing w:line="276" w:lineRule="auto"/>
        <w:contextualSpacing/>
        <w:jc w:val="both"/>
        <w:rPr>
          <w:rFonts w:ascii="Arial Narrow" w:eastAsia="MS Mincho" w:hAnsi="Arial Narrow"/>
          <w:sz w:val="24"/>
          <w:szCs w:val="24"/>
        </w:rPr>
      </w:pPr>
      <w:r w:rsidRPr="00B67C60">
        <w:rPr>
          <w:rFonts w:ascii="Arial Narrow" w:eastAsia="MS Mincho" w:hAnsi="Arial Narrow"/>
          <w:sz w:val="24"/>
          <w:szCs w:val="24"/>
        </w:rPr>
        <w:t>Electric vehicle (EV) adoption increases</w:t>
      </w:r>
      <w:r w:rsidR="001E4B56">
        <w:rPr>
          <w:rFonts w:ascii="Arial Narrow" w:eastAsia="MS Mincho" w:hAnsi="Arial Narrow"/>
          <w:sz w:val="24"/>
          <w:szCs w:val="24"/>
        </w:rPr>
        <w:t xml:space="preserve"> are</w:t>
      </w:r>
      <w:r w:rsidRPr="00B67C60">
        <w:rPr>
          <w:rFonts w:ascii="Arial Narrow" w:eastAsia="MS Mincho" w:hAnsi="Arial Narrow"/>
          <w:sz w:val="24"/>
          <w:szCs w:val="24"/>
        </w:rPr>
        <w:t xml:space="preserve"> based on assumptions about EVs’ share of new vehicle sales in each year. This is currently approximately 0.3%</w:t>
      </w:r>
      <w:r w:rsidRPr="00B67C60">
        <w:rPr>
          <w:rFonts w:ascii="Arial Narrow" w:eastAsia="MS Mincho" w:hAnsi="Arial Narrow"/>
          <w:sz w:val="24"/>
          <w:szCs w:val="24"/>
          <w:vertAlign w:val="superscript"/>
        </w:rPr>
        <w:footnoteReference w:id="2"/>
      </w:r>
      <w:r w:rsidRPr="00B67C60">
        <w:rPr>
          <w:rFonts w:ascii="Arial Narrow" w:eastAsia="MS Mincho" w:hAnsi="Arial Narrow"/>
          <w:sz w:val="24"/>
          <w:szCs w:val="24"/>
        </w:rPr>
        <w:t xml:space="preserve"> and is assumed to grow modestly to 5% by 2030, 10% by 2040, and 20% by 2050.</w:t>
      </w:r>
    </w:p>
    <w:p w14:paraId="327C72D8" w14:textId="2DEF250B" w:rsidR="00531BB5" w:rsidRPr="00394C10" w:rsidRDefault="00C14039" w:rsidP="00C14039">
      <w:pPr>
        <w:numPr>
          <w:ilvl w:val="0"/>
          <w:numId w:val="11"/>
        </w:numPr>
        <w:spacing w:line="276" w:lineRule="auto"/>
        <w:contextualSpacing/>
        <w:jc w:val="both"/>
        <w:rPr>
          <w:rFonts w:ascii="Arial Narrow" w:eastAsia="MS Mincho" w:hAnsi="Arial Narrow"/>
          <w:i/>
          <w:sz w:val="24"/>
          <w:szCs w:val="24"/>
        </w:rPr>
      </w:pPr>
      <w:r w:rsidRPr="00B67C60">
        <w:rPr>
          <w:rFonts w:ascii="Arial Narrow" w:eastAsia="MS Mincho" w:hAnsi="Arial Narrow"/>
          <w:sz w:val="24"/>
          <w:szCs w:val="24"/>
        </w:rPr>
        <w:t xml:space="preserve">Transportation demand (vehicle miles traveled, VMT) </w:t>
      </w:r>
      <w:r w:rsidR="001E4B56">
        <w:rPr>
          <w:rFonts w:ascii="Arial Narrow" w:eastAsia="MS Mincho" w:hAnsi="Arial Narrow"/>
          <w:sz w:val="24"/>
          <w:szCs w:val="24"/>
        </w:rPr>
        <w:t>is assumed to grow</w:t>
      </w:r>
      <w:r w:rsidRPr="00B67C60">
        <w:rPr>
          <w:rFonts w:ascii="Arial Narrow" w:eastAsia="MS Mincho" w:hAnsi="Arial Narrow"/>
          <w:sz w:val="24"/>
          <w:szCs w:val="24"/>
        </w:rPr>
        <w:t xml:space="preserve"> </w:t>
      </w:r>
      <w:r w:rsidR="001E4B56">
        <w:rPr>
          <w:rFonts w:ascii="Arial Narrow" w:eastAsia="MS Mincho" w:hAnsi="Arial Narrow"/>
          <w:sz w:val="24"/>
          <w:szCs w:val="24"/>
        </w:rPr>
        <w:t xml:space="preserve">alongside </w:t>
      </w:r>
      <w:r w:rsidRPr="00B67C60">
        <w:rPr>
          <w:rFonts w:ascii="Arial Narrow" w:eastAsia="MS Mincho" w:hAnsi="Arial Narrow"/>
          <w:sz w:val="24"/>
          <w:szCs w:val="24"/>
        </w:rPr>
        <w:t>growth in the building stock</w:t>
      </w:r>
      <w:r w:rsidR="001E4B56">
        <w:rPr>
          <w:rFonts w:ascii="Arial Narrow" w:eastAsia="MS Mincho" w:hAnsi="Arial Narrow"/>
          <w:sz w:val="24"/>
          <w:szCs w:val="24"/>
        </w:rPr>
        <w:t>,</w:t>
      </w:r>
      <w:r w:rsidRPr="00B67C60">
        <w:rPr>
          <w:rFonts w:ascii="Arial Narrow" w:eastAsia="MS Mincho" w:hAnsi="Arial Narrow"/>
          <w:sz w:val="24"/>
          <w:szCs w:val="24"/>
        </w:rPr>
        <w:t xml:space="preserve"> </w:t>
      </w:r>
      <w:r w:rsidR="00531BB5">
        <w:rPr>
          <w:rFonts w:ascii="Arial Narrow" w:eastAsia="MS Mincho" w:hAnsi="Arial Narrow"/>
          <w:sz w:val="24"/>
          <w:szCs w:val="24"/>
        </w:rPr>
        <w:t>but at a slower rate.</w:t>
      </w:r>
      <w:r w:rsidR="00531BB5">
        <w:rPr>
          <w:rStyle w:val="FootnoteReference"/>
          <w:rFonts w:ascii="Arial Narrow" w:eastAsia="MS Mincho" w:hAnsi="Arial Narrow"/>
          <w:sz w:val="24"/>
          <w:szCs w:val="24"/>
        </w:rPr>
        <w:footnoteReference w:id="3"/>
      </w:r>
    </w:p>
    <w:p w14:paraId="400C7BD7" w14:textId="05A24886" w:rsidR="00C14039" w:rsidRPr="00B67C60" w:rsidRDefault="00531BB5" w:rsidP="00C14039">
      <w:pPr>
        <w:numPr>
          <w:ilvl w:val="0"/>
          <w:numId w:val="11"/>
        </w:numPr>
        <w:spacing w:line="276" w:lineRule="auto"/>
        <w:contextualSpacing/>
        <w:jc w:val="both"/>
        <w:rPr>
          <w:rFonts w:ascii="Arial Narrow" w:eastAsia="MS Mincho" w:hAnsi="Arial Narrow"/>
          <w:i/>
          <w:sz w:val="24"/>
          <w:szCs w:val="24"/>
        </w:rPr>
      </w:pPr>
      <w:r>
        <w:rPr>
          <w:rFonts w:ascii="Arial Narrow" w:eastAsia="MS Mincho" w:hAnsi="Arial Narrow"/>
          <w:sz w:val="24"/>
          <w:szCs w:val="24"/>
        </w:rPr>
        <w:t>M</w:t>
      </w:r>
      <w:r w:rsidR="00C14039" w:rsidRPr="00B67C60">
        <w:rPr>
          <w:rFonts w:ascii="Arial Narrow" w:eastAsia="MS Mincho" w:hAnsi="Arial Narrow"/>
          <w:sz w:val="24"/>
          <w:szCs w:val="24"/>
        </w:rPr>
        <w:t xml:space="preserve">ode share is assumed to stay approximately constant at 84% passenger vehicle, 8% transit, and 8% cycling and walking. </w:t>
      </w:r>
    </w:p>
    <w:p w14:paraId="39F7BD0D" w14:textId="2D05FB3F" w:rsidR="00C14039" w:rsidRPr="00B67C60" w:rsidRDefault="00C14039" w:rsidP="00C322D6">
      <w:pPr>
        <w:numPr>
          <w:ilvl w:val="0"/>
          <w:numId w:val="11"/>
        </w:numPr>
        <w:spacing w:line="276" w:lineRule="auto"/>
        <w:ind w:left="714" w:hanging="357"/>
        <w:jc w:val="both"/>
        <w:rPr>
          <w:rFonts w:ascii="Arial Narrow" w:eastAsia="MS Mincho" w:hAnsi="Arial Narrow"/>
          <w:sz w:val="24"/>
          <w:szCs w:val="24"/>
        </w:rPr>
      </w:pPr>
      <w:r w:rsidRPr="00B67C60">
        <w:rPr>
          <w:rFonts w:ascii="Arial Narrow" w:eastAsia="MS Mincho" w:hAnsi="Arial Narrow"/>
          <w:sz w:val="24"/>
          <w:szCs w:val="24"/>
        </w:rPr>
        <w:t xml:space="preserve">Current and future transportation demand </w:t>
      </w:r>
      <w:r w:rsidR="001E4B56">
        <w:rPr>
          <w:rFonts w:ascii="Arial Narrow" w:eastAsia="MS Mincho" w:hAnsi="Arial Narrow"/>
          <w:sz w:val="24"/>
          <w:szCs w:val="24"/>
        </w:rPr>
        <w:t>are</w:t>
      </w:r>
      <w:r w:rsidRPr="00B67C60">
        <w:rPr>
          <w:rFonts w:ascii="Arial Narrow" w:eastAsia="MS Mincho" w:hAnsi="Arial Narrow"/>
          <w:sz w:val="24"/>
          <w:szCs w:val="24"/>
        </w:rPr>
        <w:t xml:space="preserve"> assumed to increase linearly with growth in square footage. There was insufficient transportation demand and building data to calculate future transportation demand and mode share based on the building types and associated job and housing numbers</w:t>
      </w:r>
      <w:r w:rsidR="001E4B56">
        <w:rPr>
          <w:rFonts w:ascii="Arial Narrow" w:eastAsia="MS Mincho" w:hAnsi="Arial Narrow"/>
          <w:sz w:val="24"/>
          <w:szCs w:val="24"/>
        </w:rPr>
        <w:t>.</w:t>
      </w:r>
      <w:r w:rsidRPr="00B67C60">
        <w:rPr>
          <w:rFonts w:ascii="Arial Narrow" w:eastAsia="MS Mincho" w:hAnsi="Arial Narrow"/>
          <w:sz w:val="24"/>
          <w:szCs w:val="24"/>
        </w:rPr>
        <w:t xml:space="preserve"> </w:t>
      </w:r>
      <w:r w:rsidR="001E4B56">
        <w:rPr>
          <w:rFonts w:ascii="Arial Narrow" w:eastAsia="MS Mincho" w:hAnsi="Arial Narrow"/>
          <w:sz w:val="24"/>
          <w:szCs w:val="24"/>
        </w:rPr>
        <w:t>G</w:t>
      </w:r>
      <w:r w:rsidRPr="00B67C60">
        <w:rPr>
          <w:rFonts w:ascii="Arial Narrow" w:eastAsia="MS Mincho" w:hAnsi="Arial Narrow"/>
          <w:sz w:val="24"/>
          <w:szCs w:val="24"/>
        </w:rPr>
        <w:t xml:space="preserve">uidance on calculating trip generation </w:t>
      </w:r>
      <w:r w:rsidR="001E4B56">
        <w:rPr>
          <w:rFonts w:ascii="Arial Narrow" w:eastAsia="MS Mincho" w:hAnsi="Arial Narrow"/>
          <w:sz w:val="24"/>
          <w:szCs w:val="24"/>
        </w:rPr>
        <w:t xml:space="preserve">was obtained </w:t>
      </w:r>
      <w:r w:rsidRPr="00B67C60">
        <w:rPr>
          <w:rFonts w:ascii="Arial Narrow" w:eastAsia="MS Mincho" w:hAnsi="Arial Narrow"/>
          <w:sz w:val="24"/>
          <w:szCs w:val="24"/>
        </w:rPr>
        <w:t xml:space="preserve">from the Institute for Transportation Engineer’s </w:t>
      </w:r>
      <w:r w:rsidRPr="00B67C60">
        <w:rPr>
          <w:rFonts w:ascii="Arial Narrow" w:eastAsia="MS Mincho" w:hAnsi="Arial Narrow"/>
          <w:i/>
          <w:sz w:val="24"/>
          <w:szCs w:val="24"/>
        </w:rPr>
        <w:t>Trip Generation Manual</w:t>
      </w:r>
      <w:r w:rsidRPr="00B67C60">
        <w:rPr>
          <w:rFonts w:ascii="Arial Narrow" w:eastAsia="MS Mincho" w:hAnsi="Arial Narrow"/>
          <w:sz w:val="24"/>
          <w:szCs w:val="24"/>
        </w:rPr>
        <w:t>.</w:t>
      </w:r>
    </w:p>
    <w:p w14:paraId="2C9DFC72" w14:textId="43EA7C01" w:rsidR="009D1653" w:rsidRDefault="009D1653" w:rsidP="00394C10">
      <w:pPr>
        <w:pStyle w:val="Heading3"/>
      </w:pPr>
      <w:bookmarkStart w:id="16" w:name="_Toc460348781"/>
      <w:r>
        <w:t>Summary</w:t>
      </w:r>
      <w:bookmarkEnd w:id="16"/>
    </w:p>
    <w:p w14:paraId="701C5C4F" w14:textId="2CF630A8" w:rsidR="00C14039" w:rsidRPr="00B67C60" w:rsidRDefault="00C14039" w:rsidP="00433B24">
      <w:pPr>
        <w:spacing w:before="240" w:line="276" w:lineRule="auto"/>
        <w:jc w:val="both"/>
        <w:rPr>
          <w:rFonts w:ascii="Arial Narrow" w:eastAsia="MS Mincho" w:hAnsi="Arial Narrow"/>
          <w:sz w:val="24"/>
          <w:szCs w:val="24"/>
        </w:rPr>
      </w:pPr>
      <w:r w:rsidRPr="00B67C60">
        <w:rPr>
          <w:rFonts w:ascii="Arial Narrow" w:eastAsia="MS Mincho" w:hAnsi="Arial Narrow"/>
          <w:sz w:val="24"/>
          <w:szCs w:val="24"/>
        </w:rPr>
        <w:t xml:space="preserve">While </w:t>
      </w:r>
      <w:r w:rsidR="00DC6485">
        <w:rPr>
          <w:rFonts w:ascii="Arial Narrow" w:eastAsia="MS Mincho" w:hAnsi="Arial Narrow"/>
          <w:sz w:val="24"/>
          <w:szCs w:val="24"/>
        </w:rPr>
        <w:t xml:space="preserve">moderate </w:t>
      </w:r>
      <w:r w:rsidRPr="00B67C60">
        <w:rPr>
          <w:rFonts w:ascii="Arial Narrow" w:eastAsia="MS Mincho" w:hAnsi="Arial Narrow"/>
          <w:sz w:val="24"/>
          <w:szCs w:val="24"/>
        </w:rPr>
        <w:t xml:space="preserve">growth in the building stock and associated transportation demand </w:t>
      </w:r>
      <w:r w:rsidR="001E4B56">
        <w:rPr>
          <w:rFonts w:ascii="Arial Narrow" w:eastAsia="MS Mincho" w:hAnsi="Arial Narrow"/>
          <w:sz w:val="24"/>
          <w:szCs w:val="24"/>
        </w:rPr>
        <w:t>will drive</w:t>
      </w:r>
      <w:r w:rsidRPr="00B67C60">
        <w:rPr>
          <w:rFonts w:ascii="Arial Narrow" w:eastAsia="MS Mincho" w:hAnsi="Arial Narrow"/>
          <w:sz w:val="24"/>
          <w:szCs w:val="24"/>
        </w:rPr>
        <w:t xml:space="preserve"> increases in energy consumption and emissions, the policies, programs, and assumptions listed above </w:t>
      </w:r>
      <w:r w:rsidR="001E4B56">
        <w:rPr>
          <w:rFonts w:ascii="Arial Narrow" w:eastAsia="MS Mincho" w:hAnsi="Arial Narrow"/>
          <w:sz w:val="24"/>
          <w:szCs w:val="24"/>
        </w:rPr>
        <w:t xml:space="preserve">will </w:t>
      </w:r>
      <w:r w:rsidRPr="00B67C60">
        <w:rPr>
          <w:rFonts w:ascii="Arial Narrow" w:eastAsia="MS Mincho" w:hAnsi="Arial Narrow"/>
          <w:sz w:val="24"/>
          <w:szCs w:val="24"/>
        </w:rPr>
        <w:t xml:space="preserve">have a downward or neutral effect on energy and emissions. The cumulative effect of these pressures </w:t>
      </w:r>
      <w:r w:rsidR="001E4B56">
        <w:rPr>
          <w:rFonts w:ascii="Arial Narrow" w:eastAsia="MS Mincho" w:hAnsi="Arial Narrow"/>
          <w:sz w:val="24"/>
          <w:szCs w:val="24"/>
        </w:rPr>
        <w:t xml:space="preserve">on </w:t>
      </w:r>
      <w:r w:rsidRPr="00B67C60">
        <w:rPr>
          <w:rFonts w:ascii="Arial Narrow" w:eastAsia="MS Mincho" w:hAnsi="Arial Narrow"/>
          <w:sz w:val="24"/>
          <w:szCs w:val="24"/>
        </w:rPr>
        <w:t xml:space="preserve">energy and emissions </w:t>
      </w:r>
      <w:r w:rsidR="001E4B56">
        <w:rPr>
          <w:rFonts w:ascii="Arial Narrow" w:eastAsia="MS Mincho" w:hAnsi="Arial Narrow"/>
          <w:sz w:val="24"/>
          <w:szCs w:val="24"/>
        </w:rPr>
        <w:t xml:space="preserve">is </w:t>
      </w:r>
      <w:r w:rsidRPr="00B67C60">
        <w:rPr>
          <w:rFonts w:ascii="Arial Narrow" w:eastAsia="MS Mincho" w:hAnsi="Arial Narrow"/>
          <w:sz w:val="24"/>
          <w:szCs w:val="24"/>
        </w:rPr>
        <w:t xml:space="preserve">summarized in </w:t>
      </w:r>
      <w:r w:rsidRPr="00B67C60">
        <w:rPr>
          <w:rFonts w:ascii="Arial Narrow" w:eastAsia="MS Mincho" w:hAnsi="Arial Narrow"/>
          <w:sz w:val="24"/>
          <w:szCs w:val="24"/>
        </w:rPr>
        <w:fldChar w:fldCharType="begin"/>
      </w:r>
      <w:r w:rsidRPr="00B67C60">
        <w:rPr>
          <w:rFonts w:ascii="Arial Narrow" w:eastAsia="MS Mincho" w:hAnsi="Arial Narrow"/>
          <w:sz w:val="24"/>
          <w:szCs w:val="24"/>
        </w:rPr>
        <w:instrText xml:space="preserve"> REF _Ref456176676 \h  \* MERGEFORMAT </w:instrText>
      </w:r>
      <w:r w:rsidRPr="00B67C60">
        <w:rPr>
          <w:rFonts w:ascii="Arial Narrow" w:eastAsia="MS Mincho" w:hAnsi="Arial Narrow"/>
          <w:sz w:val="24"/>
          <w:szCs w:val="24"/>
        </w:rPr>
      </w:r>
      <w:r w:rsidRPr="00B67C60">
        <w:rPr>
          <w:rFonts w:ascii="Arial Narrow" w:eastAsia="MS Mincho" w:hAnsi="Arial Narrow"/>
          <w:sz w:val="24"/>
          <w:szCs w:val="24"/>
        </w:rPr>
        <w:fldChar w:fldCharType="separate"/>
      </w:r>
      <w:r w:rsidR="00394D4A" w:rsidRPr="00394D4A">
        <w:rPr>
          <w:rFonts w:ascii="Arial Narrow" w:eastAsia="MS Mincho" w:hAnsi="Arial Narrow"/>
          <w:sz w:val="24"/>
          <w:szCs w:val="24"/>
        </w:rPr>
        <w:t xml:space="preserve">Table </w:t>
      </w:r>
      <w:r w:rsidR="00394D4A" w:rsidRPr="00394D4A">
        <w:rPr>
          <w:rFonts w:ascii="Arial Narrow" w:eastAsia="MS Mincho" w:hAnsi="Arial Narrow"/>
          <w:sz w:val="24"/>
          <w:szCs w:val="24"/>
        </w:rPr>
        <w:t>1</w:t>
      </w:r>
      <w:r w:rsidRPr="00B67C60">
        <w:rPr>
          <w:rFonts w:ascii="Arial Narrow" w:eastAsia="MS Mincho" w:hAnsi="Arial Narrow"/>
          <w:sz w:val="24"/>
          <w:szCs w:val="24"/>
        </w:rPr>
        <w:fldChar w:fldCharType="end"/>
      </w:r>
      <w:r w:rsidRPr="00B67C60">
        <w:rPr>
          <w:rFonts w:ascii="Arial Narrow" w:eastAsia="MS Mincho" w:hAnsi="Arial Narrow"/>
          <w:sz w:val="24"/>
          <w:szCs w:val="24"/>
        </w:rPr>
        <w:t xml:space="preserve"> above. </w:t>
      </w:r>
    </w:p>
    <w:p w14:paraId="0B0E3292" w14:textId="4476785D" w:rsidR="00C14039" w:rsidRDefault="00C14039" w:rsidP="00C14039">
      <w:pPr>
        <w:spacing w:line="276" w:lineRule="auto"/>
        <w:jc w:val="both"/>
        <w:rPr>
          <w:rFonts w:ascii="Arial Narrow" w:eastAsia="MS Mincho" w:hAnsi="Arial Narrow"/>
          <w:sz w:val="24"/>
          <w:szCs w:val="24"/>
        </w:rPr>
      </w:pPr>
      <w:r w:rsidRPr="00B67C60">
        <w:rPr>
          <w:rFonts w:ascii="Arial Narrow" w:eastAsia="MS Mincho" w:hAnsi="Arial Narrow"/>
          <w:sz w:val="24"/>
          <w:szCs w:val="24"/>
        </w:rPr>
        <w:t xml:space="preserve">The emissions impact of the programs, policies, and assumptions in each sector </w:t>
      </w:r>
      <w:r w:rsidR="001E4B56">
        <w:rPr>
          <w:rFonts w:ascii="Arial Narrow" w:eastAsia="MS Mincho" w:hAnsi="Arial Narrow"/>
          <w:sz w:val="24"/>
          <w:szCs w:val="24"/>
        </w:rPr>
        <w:t>is</w:t>
      </w:r>
      <w:r w:rsidRPr="00B67C60">
        <w:rPr>
          <w:rFonts w:ascii="Arial Narrow" w:eastAsia="MS Mincho" w:hAnsi="Arial Narrow"/>
          <w:sz w:val="24"/>
          <w:szCs w:val="24"/>
        </w:rPr>
        <w:t xml:space="preserve"> summarized in the wedge diagram in</w:t>
      </w:r>
      <w:r w:rsidR="003552E7">
        <w:rPr>
          <w:rFonts w:ascii="Arial Narrow" w:eastAsia="MS Mincho" w:hAnsi="Arial Narrow"/>
          <w:sz w:val="24"/>
          <w:szCs w:val="24"/>
        </w:rPr>
        <w:t xml:space="preserve"> </w:t>
      </w:r>
      <w:r w:rsidR="003552E7">
        <w:rPr>
          <w:rFonts w:ascii="Arial Narrow" w:eastAsia="MS Mincho" w:hAnsi="Arial Narrow"/>
          <w:sz w:val="24"/>
          <w:szCs w:val="24"/>
        </w:rPr>
        <w:fldChar w:fldCharType="begin"/>
      </w:r>
      <w:r w:rsidR="003552E7">
        <w:rPr>
          <w:rFonts w:ascii="Arial Narrow" w:eastAsia="MS Mincho" w:hAnsi="Arial Narrow"/>
          <w:sz w:val="24"/>
          <w:szCs w:val="24"/>
        </w:rPr>
        <w:instrText xml:space="preserve"> REF _Ref460349106 \h </w:instrText>
      </w:r>
      <w:r w:rsidR="003552E7">
        <w:rPr>
          <w:rFonts w:ascii="Arial Narrow" w:eastAsia="MS Mincho" w:hAnsi="Arial Narrow"/>
          <w:sz w:val="24"/>
          <w:szCs w:val="24"/>
        </w:rPr>
      </w:r>
      <w:r w:rsidR="003552E7">
        <w:rPr>
          <w:rFonts w:ascii="Arial Narrow" w:eastAsia="MS Mincho" w:hAnsi="Arial Narrow"/>
          <w:sz w:val="24"/>
          <w:szCs w:val="24"/>
        </w:rPr>
        <w:instrText xml:space="preserve"> \* MERGEFORMAT </w:instrText>
      </w:r>
      <w:r w:rsidR="003552E7">
        <w:rPr>
          <w:rFonts w:ascii="Arial Narrow" w:eastAsia="MS Mincho" w:hAnsi="Arial Narrow"/>
          <w:sz w:val="24"/>
          <w:szCs w:val="24"/>
        </w:rPr>
        <w:fldChar w:fldCharType="separate"/>
      </w:r>
      <w:r w:rsidR="00394D4A" w:rsidRPr="00394D4A">
        <w:rPr>
          <w:rFonts w:ascii="Arial Narrow" w:eastAsia="MS Mincho" w:hAnsi="Arial Narrow"/>
          <w:sz w:val="24"/>
          <w:szCs w:val="24"/>
        </w:rPr>
        <w:t xml:space="preserve">Figure </w:t>
      </w:r>
      <w:r w:rsidR="00394D4A" w:rsidRPr="00394D4A">
        <w:rPr>
          <w:rFonts w:ascii="Arial Narrow" w:eastAsia="MS Mincho" w:hAnsi="Arial Narrow"/>
          <w:sz w:val="24"/>
          <w:szCs w:val="24"/>
        </w:rPr>
        <w:t>4</w:t>
      </w:r>
      <w:r w:rsidR="003552E7">
        <w:rPr>
          <w:rFonts w:ascii="Arial Narrow" w:eastAsia="MS Mincho" w:hAnsi="Arial Narrow"/>
          <w:sz w:val="24"/>
          <w:szCs w:val="24"/>
        </w:rPr>
        <w:fldChar w:fldCharType="end"/>
      </w:r>
      <w:r w:rsidRPr="00B67C60">
        <w:rPr>
          <w:rFonts w:ascii="Arial Narrow" w:eastAsia="MS Mincho" w:hAnsi="Arial Narrow"/>
          <w:sz w:val="24"/>
          <w:szCs w:val="24"/>
        </w:rPr>
        <w:t xml:space="preserve">, where each colored wedge represents avoided GHG emissions. The total emissions </w:t>
      </w:r>
      <w:r w:rsidRPr="001E4B56">
        <w:rPr>
          <w:rFonts w:ascii="Arial Narrow" w:eastAsia="MS Mincho" w:hAnsi="Arial Narrow"/>
          <w:i/>
          <w:sz w:val="24"/>
          <w:szCs w:val="24"/>
        </w:rPr>
        <w:t>without</w:t>
      </w:r>
      <w:r w:rsidRPr="00B67C60">
        <w:rPr>
          <w:rFonts w:ascii="Arial Narrow" w:eastAsia="MS Mincho" w:hAnsi="Arial Narrow"/>
          <w:sz w:val="24"/>
          <w:szCs w:val="24"/>
        </w:rPr>
        <w:t xml:space="preserve"> these programs, policies, and assumptions are represented by </w:t>
      </w:r>
      <w:r w:rsidR="00FA0F48">
        <w:rPr>
          <w:rFonts w:ascii="Arial Narrow" w:eastAsia="MS Mincho" w:hAnsi="Arial Narrow"/>
          <w:sz w:val="24"/>
          <w:szCs w:val="24"/>
        </w:rPr>
        <w:t>the top of the wedge diagram, which shows that</w:t>
      </w:r>
      <w:r w:rsidRPr="00B67C60">
        <w:rPr>
          <w:rFonts w:ascii="Arial Narrow" w:eastAsia="MS Mincho" w:hAnsi="Arial Narrow"/>
          <w:sz w:val="24"/>
          <w:szCs w:val="24"/>
        </w:rPr>
        <w:t xml:space="preserve"> emissions are </w:t>
      </w:r>
      <w:r w:rsidR="00DC6485">
        <w:rPr>
          <w:rFonts w:ascii="Arial Narrow" w:eastAsia="MS Mincho" w:hAnsi="Arial Narrow"/>
          <w:sz w:val="24"/>
          <w:szCs w:val="24"/>
        </w:rPr>
        <w:t xml:space="preserve">approximately 27% </w:t>
      </w:r>
      <w:r w:rsidRPr="00B67C60">
        <w:rPr>
          <w:rFonts w:ascii="Arial Narrow" w:eastAsia="MS Mincho" w:hAnsi="Arial Narrow"/>
          <w:sz w:val="24"/>
          <w:szCs w:val="24"/>
        </w:rPr>
        <w:t xml:space="preserve">higher in 2050 than </w:t>
      </w:r>
      <w:r w:rsidR="00FA0F48">
        <w:rPr>
          <w:rFonts w:ascii="Arial Narrow" w:eastAsia="MS Mincho" w:hAnsi="Arial Narrow"/>
          <w:sz w:val="24"/>
          <w:szCs w:val="24"/>
        </w:rPr>
        <w:t xml:space="preserve">in the </w:t>
      </w:r>
      <w:r w:rsidR="001E4B56">
        <w:rPr>
          <w:rFonts w:ascii="Arial Narrow" w:eastAsia="MS Mincho" w:hAnsi="Arial Narrow"/>
          <w:sz w:val="24"/>
          <w:szCs w:val="24"/>
        </w:rPr>
        <w:t>present day</w:t>
      </w:r>
      <w:r w:rsidRPr="00B67C60">
        <w:rPr>
          <w:rFonts w:ascii="Arial Narrow" w:eastAsia="MS Mincho" w:hAnsi="Arial Narrow"/>
          <w:sz w:val="24"/>
          <w:szCs w:val="24"/>
        </w:rPr>
        <w:t xml:space="preserve">. The grey area at the bottom of the diagram represents remaining emissions </w:t>
      </w:r>
      <w:r w:rsidRPr="001E4B56">
        <w:rPr>
          <w:rFonts w:ascii="Arial Narrow" w:eastAsia="MS Mincho" w:hAnsi="Arial Narrow"/>
          <w:i/>
          <w:sz w:val="24"/>
          <w:szCs w:val="24"/>
        </w:rPr>
        <w:t>after</w:t>
      </w:r>
      <w:r w:rsidRPr="00B67C60">
        <w:rPr>
          <w:rFonts w:ascii="Arial Narrow" w:eastAsia="MS Mincho" w:hAnsi="Arial Narrow"/>
          <w:sz w:val="24"/>
          <w:szCs w:val="24"/>
        </w:rPr>
        <w:t xml:space="preserve"> the programs, policies, and </w:t>
      </w:r>
      <w:r w:rsidR="00FA0F48">
        <w:rPr>
          <w:rFonts w:ascii="Arial Narrow" w:eastAsia="MS Mincho" w:hAnsi="Arial Narrow"/>
          <w:sz w:val="24"/>
          <w:szCs w:val="24"/>
        </w:rPr>
        <w:t xml:space="preserve">assumptions have been applied, which </w:t>
      </w:r>
      <w:r w:rsidRPr="00B67C60">
        <w:rPr>
          <w:rFonts w:ascii="Arial Narrow" w:eastAsia="MS Mincho" w:hAnsi="Arial Narrow"/>
          <w:sz w:val="24"/>
          <w:szCs w:val="24"/>
        </w:rPr>
        <w:t xml:space="preserve">are approximately </w:t>
      </w:r>
      <w:r w:rsidR="00A97758">
        <w:rPr>
          <w:rFonts w:ascii="Arial Narrow" w:eastAsia="MS Mincho" w:hAnsi="Arial Narrow"/>
          <w:sz w:val="24"/>
          <w:szCs w:val="24"/>
        </w:rPr>
        <w:t>6</w:t>
      </w:r>
      <w:r w:rsidR="00DC6485">
        <w:rPr>
          <w:rFonts w:ascii="Arial Narrow" w:eastAsia="MS Mincho" w:hAnsi="Arial Narrow"/>
          <w:sz w:val="24"/>
          <w:szCs w:val="24"/>
        </w:rPr>
        <w:t xml:space="preserve">% lower </w:t>
      </w:r>
      <w:r w:rsidRPr="00B67C60">
        <w:rPr>
          <w:rFonts w:ascii="Arial Narrow" w:eastAsia="MS Mincho" w:hAnsi="Arial Narrow"/>
          <w:sz w:val="24"/>
          <w:szCs w:val="24"/>
        </w:rPr>
        <w:t xml:space="preserve">in 2050 than </w:t>
      </w:r>
      <w:r w:rsidR="00FA0F48">
        <w:rPr>
          <w:rFonts w:ascii="Arial Narrow" w:eastAsia="MS Mincho" w:hAnsi="Arial Narrow"/>
          <w:sz w:val="24"/>
          <w:szCs w:val="24"/>
        </w:rPr>
        <w:t>today</w:t>
      </w:r>
      <w:r w:rsidRPr="00B67C60">
        <w:rPr>
          <w:rFonts w:ascii="Arial Narrow" w:eastAsia="MS Mincho" w:hAnsi="Arial Narrow"/>
          <w:sz w:val="24"/>
          <w:szCs w:val="24"/>
        </w:rPr>
        <w:t>. The difference in emissions in these two 2050 projections is due primarily to the federal CAFE Standard (</w:t>
      </w:r>
      <w:r w:rsidR="00DC6485">
        <w:rPr>
          <w:rFonts w:ascii="Arial Narrow" w:eastAsia="MS Mincho" w:hAnsi="Arial Narrow"/>
          <w:sz w:val="24"/>
          <w:szCs w:val="24"/>
        </w:rPr>
        <w:t>6</w:t>
      </w:r>
      <w:r w:rsidR="00A97758">
        <w:rPr>
          <w:rFonts w:ascii="Arial Narrow" w:eastAsia="MS Mincho" w:hAnsi="Arial Narrow"/>
          <w:sz w:val="24"/>
          <w:szCs w:val="24"/>
        </w:rPr>
        <w:t>5</w:t>
      </w:r>
      <w:r w:rsidRPr="00B67C60">
        <w:rPr>
          <w:rFonts w:ascii="Arial Narrow" w:eastAsia="MS Mincho" w:hAnsi="Arial Narrow"/>
          <w:sz w:val="24"/>
          <w:szCs w:val="24"/>
        </w:rPr>
        <w:t>%) and</w:t>
      </w:r>
      <w:r w:rsidR="00FA0F48">
        <w:rPr>
          <w:rFonts w:ascii="Arial Narrow" w:eastAsia="MS Mincho" w:hAnsi="Arial Narrow"/>
          <w:sz w:val="24"/>
          <w:szCs w:val="24"/>
        </w:rPr>
        <w:t xml:space="preserve"> the</w:t>
      </w:r>
      <w:r w:rsidRPr="00B67C60">
        <w:rPr>
          <w:rFonts w:ascii="Arial Narrow" w:eastAsia="MS Mincho" w:hAnsi="Arial Narrow"/>
          <w:sz w:val="24"/>
          <w:szCs w:val="24"/>
        </w:rPr>
        <w:t xml:space="preserve"> </w:t>
      </w:r>
      <w:r w:rsidR="00FA0F48">
        <w:rPr>
          <w:rFonts w:ascii="Arial Narrow" w:eastAsia="MS Mincho" w:hAnsi="Arial Narrow"/>
          <w:sz w:val="24"/>
          <w:szCs w:val="24"/>
        </w:rPr>
        <w:t>Minnesota building code (</w:t>
      </w:r>
      <w:r w:rsidR="00DC6485">
        <w:rPr>
          <w:rFonts w:ascii="Arial Narrow" w:eastAsia="MS Mincho" w:hAnsi="Arial Narrow"/>
          <w:sz w:val="24"/>
          <w:szCs w:val="24"/>
        </w:rPr>
        <w:t>3</w:t>
      </w:r>
      <w:r w:rsidR="00A97758">
        <w:rPr>
          <w:rFonts w:ascii="Arial Narrow" w:eastAsia="MS Mincho" w:hAnsi="Arial Narrow"/>
          <w:sz w:val="24"/>
          <w:szCs w:val="24"/>
        </w:rPr>
        <w:t>2</w:t>
      </w:r>
      <w:r w:rsidR="00FA0F48">
        <w:rPr>
          <w:rFonts w:ascii="Arial Narrow" w:eastAsia="MS Mincho" w:hAnsi="Arial Narrow"/>
          <w:sz w:val="24"/>
          <w:szCs w:val="24"/>
        </w:rPr>
        <w:t>%). R</w:t>
      </w:r>
      <w:r w:rsidRPr="00B67C60">
        <w:rPr>
          <w:rFonts w:ascii="Arial Narrow" w:eastAsia="MS Mincho" w:hAnsi="Arial Narrow"/>
          <w:sz w:val="24"/>
          <w:szCs w:val="24"/>
        </w:rPr>
        <w:t xml:space="preserve">emaining emissions reductions </w:t>
      </w:r>
      <w:r w:rsidR="00FA0F48">
        <w:rPr>
          <w:rFonts w:ascii="Arial Narrow" w:eastAsia="MS Mincho" w:hAnsi="Arial Narrow"/>
          <w:sz w:val="24"/>
          <w:szCs w:val="24"/>
        </w:rPr>
        <w:t>are the result</w:t>
      </w:r>
      <w:r w:rsidRPr="00B67C60">
        <w:rPr>
          <w:rFonts w:ascii="Arial Narrow" w:eastAsia="MS Mincho" w:hAnsi="Arial Narrow"/>
          <w:sz w:val="24"/>
          <w:szCs w:val="24"/>
        </w:rPr>
        <w:t xml:space="preserve"> </w:t>
      </w:r>
      <w:r w:rsidR="00FA0F48">
        <w:rPr>
          <w:rFonts w:ascii="Arial Narrow" w:eastAsia="MS Mincho" w:hAnsi="Arial Narrow"/>
          <w:sz w:val="24"/>
          <w:szCs w:val="24"/>
        </w:rPr>
        <w:t xml:space="preserve">of </w:t>
      </w:r>
      <w:r w:rsidRPr="00B67C60">
        <w:rPr>
          <w:rFonts w:ascii="Arial Narrow" w:eastAsia="MS Mincho" w:hAnsi="Arial Narrow"/>
          <w:sz w:val="24"/>
          <w:szCs w:val="24"/>
        </w:rPr>
        <w:t>electric vehicle adoption (</w:t>
      </w:r>
      <w:r w:rsidR="00DC6485">
        <w:rPr>
          <w:rFonts w:ascii="Arial Narrow" w:eastAsia="MS Mincho" w:hAnsi="Arial Narrow"/>
          <w:sz w:val="24"/>
          <w:szCs w:val="24"/>
        </w:rPr>
        <w:t>3</w:t>
      </w:r>
      <w:r w:rsidRPr="00B67C60">
        <w:rPr>
          <w:rFonts w:ascii="Arial Narrow" w:eastAsia="MS Mincho" w:hAnsi="Arial Narrow"/>
          <w:sz w:val="24"/>
          <w:szCs w:val="24"/>
        </w:rPr>
        <w:t>%).</w:t>
      </w:r>
    </w:p>
    <w:p w14:paraId="6EBC7DFC" w14:textId="77777777" w:rsidR="00E529BC" w:rsidRDefault="00E529BC" w:rsidP="00495AC8">
      <w:pPr>
        <w:keepNext/>
        <w:spacing w:after="200" w:line="240" w:lineRule="auto"/>
        <w:rPr>
          <w:rFonts w:ascii="Arial Narrow" w:eastAsia="MS Mincho" w:hAnsi="Arial Narrow"/>
          <w:i/>
          <w:iCs/>
        </w:rPr>
      </w:pPr>
      <w:bookmarkStart w:id="17" w:name="_Ref456362514"/>
      <w:r>
        <w:rPr>
          <w:rFonts w:ascii="Arial Narrow" w:eastAsia="MS Mincho" w:hAnsi="Arial Narrow"/>
          <w:i/>
          <w:iCs/>
          <w:noProof/>
          <w:lang w:eastAsia="en-CA"/>
        </w:rPr>
        <w:drawing>
          <wp:inline distT="0" distB="0" distL="0" distR="0" wp14:anchorId="1B204B9C" wp14:editId="41016CEC">
            <wp:extent cx="5740934" cy="431421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3074" cy="4315824"/>
                    </a:xfrm>
                    <a:prstGeom prst="rect">
                      <a:avLst/>
                    </a:prstGeom>
                    <a:noFill/>
                  </pic:spPr>
                </pic:pic>
              </a:graphicData>
            </a:graphic>
          </wp:inline>
        </w:drawing>
      </w:r>
      <w:bookmarkStart w:id="18" w:name="_GoBack"/>
      <w:bookmarkEnd w:id="18"/>
    </w:p>
    <w:p w14:paraId="0DCFC3D3" w14:textId="503A2E19" w:rsidR="00495AC8" w:rsidRDefault="00495AC8" w:rsidP="00495AC8">
      <w:pPr>
        <w:keepNext/>
        <w:spacing w:after="200" w:line="240" w:lineRule="auto"/>
        <w:rPr>
          <w:rFonts w:ascii="Arial Narrow" w:eastAsia="MS Mincho" w:hAnsi="Arial Narrow"/>
          <w:i/>
          <w:iCs/>
        </w:rPr>
      </w:pPr>
      <w:bookmarkStart w:id="19" w:name="_Ref460349106"/>
      <w:r w:rsidRPr="00495AC8">
        <w:rPr>
          <w:rFonts w:ascii="Arial Narrow" w:eastAsia="MS Mincho" w:hAnsi="Arial Narrow"/>
          <w:i/>
          <w:iCs/>
        </w:rPr>
        <w:t xml:space="preserve">Figure </w:t>
      </w:r>
      <w:r w:rsidRPr="00495AC8">
        <w:rPr>
          <w:rFonts w:ascii="Arial Narrow" w:eastAsia="MS Mincho" w:hAnsi="Arial Narrow"/>
          <w:i/>
          <w:iCs/>
        </w:rPr>
        <w:fldChar w:fldCharType="begin"/>
      </w:r>
      <w:r w:rsidRPr="00495AC8">
        <w:rPr>
          <w:rFonts w:ascii="Arial Narrow" w:eastAsia="MS Mincho" w:hAnsi="Arial Narrow"/>
          <w:i/>
          <w:iCs/>
        </w:rPr>
        <w:instrText xml:space="preserve"> SEQ Figure \* ARABIC </w:instrText>
      </w:r>
      <w:r w:rsidRPr="00495AC8">
        <w:rPr>
          <w:rFonts w:ascii="Arial Narrow" w:eastAsia="MS Mincho" w:hAnsi="Arial Narrow"/>
          <w:i/>
          <w:iCs/>
        </w:rPr>
        <w:fldChar w:fldCharType="separate"/>
      </w:r>
      <w:r w:rsidR="00394D4A">
        <w:rPr>
          <w:rFonts w:ascii="Arial Narrow" w:eastAsia="MS Mincho" w:hAnsi="Arial Narrow"/>
          <w:i/>
          <w:iCs/>
          <w:noProof/>
        </w:rPr>
        <w:t>4</w:t>
      </w:r>
      <w:r w:rsidRPr="00495AC8">
        <w:rPr>
          <w:rFonts w:ascii="Arial Narrow" w:eastAsia="MS Mincho" w:hAnsi="Arial Narrow"/>
          <w:i/>
          <w:iCs/>
        </w:rPr>
        <w:fldChar w:fldCharType="end"/>
      </w:r>
      <w:bookmarkEnd w:id="17"/>
      <w:bookmarkEnd w:id="19"/>
      <w:r w:rsidRPr="00495AC8">
        <w:rPr>
          <w:rFonts w:ascii="Arial Narrow" w:eastAsia="MS Mincho" w:hAnsi="Arial Narrow"/>
          <w:i/>
          <w:iCs/>
        </w:rPr>
        <w:t xml:space="preserve"> </w:t>
      </w:r>
      <w:r w:rsidRPr="00433B24">
        <w:rPr>
          <w:rFonts w:ascii="Arial Narrow" w:eastAsia="MS Mincho" w:hAnsi="Arial Narrow"/>
          <w:i/>
          <w:iCs/>
        </w:rPr>
        <w:t>Baseline</w:t>
      </w:r>
      <w:r w:rsidR="00B50F30">
        <w:rPr>
          <w:rFonts w:ascii="Arial Narrow" w:eastAsia="MS Mincho" w:hAnsi="Arial Narrow"/>
          <w:i/>
          <w:iCs/>
        </w:rPr>
        <w:t xml:space="preserve"> Scenario</w:t>
      </w:r>
      <w:r w:rsidRPr="00433B24">
        <w:rPr>
          <w:rFonts w:ascii="Arial Narrow" w:eastAsia="MS Mincho" w:hAnsi="Arial Narrow"/>
          <w:i/>
          <w:iCs/>
        </w:rPr>
        <w:t xml:space="preserve"> GHG emissions projection for East Arapahoe, with wedges representing emissions avoided or reduced.</w:t>
      </w:r>
    </w:p>
    <w:p w14:paraId="4839FB86" w14:textId="251F2FD6" w:rsidR="008A47E8" w:rsidRDefault="008A47E8">
      <w:bookmarkStart w:id="20" w:name="_Toc460348782"/>
      <w:r>
        <w:br w:type="page"/>
      </w:r>
    </w:p>
    <w:p w14:paraId="1957BD3F" w14:textId="77777777" w:rsidR="00633891" w:rsidRPr="00C22F21" w:rsidRDefault="00633891" w:rsidP="00633891">
      <w:pPr>
        <w:pStyle w:val="Heading2"/>
      </w:pPr>
      <w:r>
        <w:t>Transformation</w:t>
      </w:r>
      <w:r w:rsidRPr="00C22F21">
        <w:t xml:space="preserve"> Scenario and High Priority Actions</w:t>
      </w:r>
      <w:bookmarkEnd w:id="20"/>
    </w:p>
    <w:p w14:paraId="4FA5012E" w14:textId="7A24F201" w:rsidR="00F645A9" w:rsidRDefault="00526017" w:rsidP="008A47E8">
      <w:pPr>
        <w:jc w:val="both"/>
        <w:rPr>
          <w:rFonts w:ascii="Arial Narrow" w:hAnsi="Arial Narrow"/>
          <w:sz w:val="24"/>
          <w:szCs w:val="24"/>
        </w:rPr>
      </w:pPr>
      <w:r>
        <w:rPr>
          <w:rFonts w:ascii="Arial Narrow" w:hAnsi="Arial Narrow"/>
          <w:sz w:val="24"/>
          <w:szCs w:val="24"/>
        </w:rPr>
        <w:t xml:space="preserve">Based on the assumptions modeled above, business-as-usual policies, programs, and technology adoption are projected to lead to lower GHG emissions by 2050 despite growth in energy demand from new development and increased travel. However, new action is required to place Lower North Loop on a path to zero emissions. To better understand what actions are required, a set of new policies, programs, and assumptions were modeled to decarbonize electricity supply, eliminate fossil fuel dependency in buildings and vehicles, and improve energy efficiency. The projected energy and emissions of this </w:t>
      </w:r>
      <w:r w:rsidRPr="00C22F21">
        <w:rPr>
          <w:rFonts w:ascii="Arial Narrow" w:hAnsi="Arial Narrow"/>
          <w:i/>
          <w:sz w:val="24"/>
          <w:szCs w:val="24"/>
        </w:rPr>
        <w:t xml:space="preserve">Transformation </w:t>
      </w:r>
      <w:r w:rsidRPr="00940830">
        <w:rPr>
          <w:rFonts w:ascii="Arial Narrow" w:hAnsi="Arial Narrow"/>
          <w:sz w:val="24"/>
          <w:szCs w:val="24"/>
        </w:rPr>
        <w:t>Scenario</w:t>
      </w:r>
      <w:r>
        <w:rPr>
          <w:rFonts w:ascii="Arial Narrow" w:hAnsi="Arial Narrow"/>
          <w:sz w:val="24"/>
          <w:szCs w:val="24"/>
        </w:rPr>
        <w:t xml:space="preserve"> are summarized in</w:t>
      </w:r>
      <w:r w:rsidR="003E1657">
        <w:rPr>
          <w:rFonts w:ascii="Arial Narrow" w:hAnsi="Arial Narrow"/>
          <w:sz w:val="24"/>
          <w:szCs w:val="24"/>
        </w:rPr>
        <w:t xml:space="preserve"> </w:t>
      </w:r>
      <w:r w:rsidR="003E1657">
        <w:rPr>
          <w:rFonts w:ascii="Arial Narrow" w:hAnsi="Arial Narrow"/>
          <w:sz w:val="24"/>
          <w:szCs w:val="24"/>
        </w:rPr>
        <w:fldChar w:fldCharType="begin"/>
      </w:r>
      <w:r w:rsidR="003E1657">
        <w:rPr>
          <w:rFonts w:ascii="Arial Narrow" w:hAnsi="Arial Narrow"/>
          <w:sz w:val="24"/>
          <w:szCs w:val="24"/>
        </w:rPr>
        <w:instrText xml:space="preserve"> REF _Ref456360034 \h  \* MERGEFORMAT </w:instrText>
      </w:r>
      <w:r w:rsidR="003E1657">
        <w:rPr>
          <w:rFonts w:ascii="Arial Narrow" w:hAnsi="Arial Narrow"/>
          <w:sz w:val="24"/>
          <w:szCs w:val="24"/>
        </w:rPr>
      </w:r>
      <w:r w:rsidR="003E1657">
        <w:rPr>
          <w:rFonts w:ascii="Arial Narrow" w:hAnsi="Arial Narrow"/>
          <w:sz w:val="24"/>
          <w:szCs w:val="24"/>
        </w:rPr>
        <w:fldChar w:fldCharType="separate"/>
      </w:r>
      <w:r w:rsidR="00394D4A" w:rsidRPr="00394D4A">
        <w:rPr>
          <w:rFonts w:ascii="Arial Narrow" w:hAnsi="Arial Narrow"/>
          <w:sz w:val="24"/>
          <w:szCs w:val="24"/>
        </w:rPr>
        <w:t xml:space="preserve">Table </w:t>
      </w:r>
      <w:r w:rsidR="00394D4A" w:rsidRPr="00394D4A">
        <w:rPr>
          <w:rFonts w:ascii="Arial Narrow" w:hAnsi="Arial Narrow"/>
          <w:sz w:val="24"/>
          <w:szCs w:val="24"/>
        </w:rPr>
        <w:t>2</w:t>
      </w:r>
      <w:r w:rsidR="003E1657">
        <w:rPr>
          <w:rFonts w:ascii="Arial Narrow" w:hAnsi="Arial Narrow"/>
          <w:sz w:val="24"/>
          <w:szCs w:val="24"/>
        </w:rPr>
        <w:fldChar w:fldCharType="end"/>
      </w:r>
      <w:r>
        <w:rPr>
          <w:rFonts w:ascii="Arial Narrow" w:hAnsi="Arial Narrow"/>
          <w:sz w:val="24"/>
          <w:szCs w:val="24"/>
        </w:rPr>
        <w:t xml:space="preserve">. The remainder of the section identifies priority focus areas for each urban system, discusses the </w:t>
      </w:r>
      <w:r w:rsidRPr="00C22F21">
        <w:rPr>
          <w:rFonts w:ascii="Arial Narrow" w:hAnsi="Arial Narrow"/>
          <w:i/>
          <w:sz w:val="24"/>
          <w:szCs w:val="24"/>
        </w:rPr>
        <w:t>Transformation Scenario</w:t>
      </w:r>
      <w:r>
        <w:rPr>
          <w:rFonts w:ascii="Arial Narrow" w:hAnsi="Arial Narrow"/>
          <w:sz w:val="24"/>
          <w:szCs w:val="24"/>
        </w:rPr>
        <w:t xml:space="preserve">, and lists relevant strategies and actions from the Playbook that can help the City decarbonize the neighborhood. </w:t>
      </w:r>
    </w:p>
    <w:p w14:paraId="0628960D" w14:textId="20B988F6" w:rsidR="00433B24" w:rsidRPr="0068721D" w:rsidRDefault="00433B24" w:rsidP="0068721D">
      <w:pPr>
        <w:keepNext/>
        <w:spacing w:after="200" w:line="240" w:lineRule="auto"/>
        <w:rPr>
          <w:rFonts w:ascii="Arial Narrow" w:eastAsia="MS Mincho" w:hAnsi="Arial Narrow"/>
          <w:i/>
          <w:iCs/>
        </w:rPr>
      </w:pPr>
      <w:bookmarkStart w:id="21" w:name="_Ref456360034"/>
      <w:r w:rsidRPr="0068721D">
        <w:rPr>
          <w:rFonts w:ascii="Arial Narrow" w:eastAsia="MS Mincho" w:hAnsi="Arial Narrow"/>
          <w:i/>
          <w:iCs/>
        </w:rPr>
        <w:t xml:space="preserve">Table </w:t>
      </w:r>
      <w:r w:rsidRPr="0068721D">
        <w:rPr>
          <w:rFonts w:ascii="Arial Narrow" w:eastAsia="MS Mincho" w:hAnsi="Arial Narrow"/>
          <w:i/>
          <w:iCs/>
        </w:rPr>
        <w:fldChar w:fldCharType="begin"/>
      </w:r>
      <w:r w:rsidRPr="0068721D">
        <w:rPr>
          <w:rFonts w:ascii="Arial Narrow" w:eastAsia="MS Mincho" w:hAnsi="Arial Narrow"/>
          <w:i/>
          <w:iCs/>
        </w:rPr>
        <w:instrText xml:space="preserve"> SEQ Table \* ARABIC </w:instrText>
      </w:r>
      <w:r w:rsidRPr="0068721D">
        <w:rPr>
          <w:rFonts w:ascii="Arial Narrow" w:eastAsia="MS Mincho" w:hAnsi="Arial Narrow"/>
          <w:i/>
          <w:iCs/>
        </w:rPr>
        <w:fldChar w:fldCharType="separate"/>
      </w:r>
      <w:r w:rsidR="00394D4A">
        <w:rPr>
          <w:rFonts w:ascii="Arial Narrow" w:eastAsia="MS Mincho" w:hAnsi="Arial Narrow"/>
          <w:i/>
          <w:iCs/>
          <w:noProof/>
        </w:rPr>
        <w:t>2</w:t>
      </w:r>
      <w:r w:rsidRPr="0068721D">
        <w:rPr>
          <w:rFonts w:ascii="Arial Narrow" w:eastAsia="MS Mincho" w:hAnsi="Arial Narrow"/>
          <w:i/>
          <w:iCs/>
        </w:rPr>
        <w:fldChar w:fldCharType="end"/>
      </w:r>
      <w:bookmarkEnd w:id="21"/>
      <w:r w:rsidR="0068721D" w:rsidRPr="0068721D">
        <w:rPr>
          <w:rFonts w:ascii="Arial Narrow" w:eastAsia="MS Mincho" w:hAnsi="Arial Narrow"/>
          <w:i/>
          <w:iCs/>
        </w:rPr>
        <w:t xml:space="preserve"> Summary of current and future energy consumption and GHG emissions.</w:t>
      </w:r>
    </w:p>
    <w:tbl>
      <w:tblPr>
        <w:tblStyle w:val="GridTable4-Accent11"/>
        <w:tblW w:w="5000" w:type="pct"/>
        <w:tblLook w:val="04A0" w:firstRow="1" w:lastRow="0" w:firstColumn="1" w:lastColumn="0" w:noHBand="0" w:noVBand="1"/>
      </w:tblPr>
      <w:tblGrid>
        <w:gridCol w:w="2241"/>
        <w:gridCol w:w="1422"/>
        <w:gridCol w:w="1422"/>
        <w:gridCol w:w="1422"/>
        <w:gridCol w:w="1422"/>
        <w:gridCol w:w="1421"/>
      </w:tblGrid>
      <w:tr w:rsidR="0072092A" w:rsidRPr="005E0DBD" w14:paraId="23FDE3EB" w14:textId="7689627D" w:rsidTr="00394C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8" w:type="pct"/>
            <w:vAlign w:val="center"/>
          </w:tcPr>
          <w:p w14:paraId="49308E3F" w14:textId="5EEEB8B7" w:rsidR="0072092A" w:rsidRPr="005E0DBD" w:rsidRDefault="0072092A" w:rsidP="00394C10">
            <w:pPr>
              <w:spacing w:line="276" w:lineRule="auto"/>
              <w:rPr>
                <w:rFonts w:ascii="Arial Narrow" w:hAnsi="Arial Narrow"/>
              </w:rPr>
            </w:pPr>
            <w:r w:rsidRPr="005E0DBD">
              <w:rPr>
                <w:rFonts w:ascii="Arial Narrow" w:hAnsi="Arial Narrow"/>
              </w:rPr>
              <w:t>GHGs (tCO2e)</w:t>
            </w:r>
          </w:p>
        </w:tc>
        <w:tc>
          <w:tcPr>
            <w:tcW w:w="760" w:type="pct"/>
            <w:vAlign w:val="center"/>
          </w:tcPr>
          <w:p w14:paraId="66CDD915" w14:textId="77777777" w:rsidR="0072092A" w:rsidRPr="005E0DBD" w:rsidRDefault="0072092A" w:rsidP="0030677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Current</w:t>
            </w:r>
          </w:p>
        </w:tc>
        <w:tc>
          <w:tcPr>
            <w:tcW w:w="760" w:type="pct"/>
            <w:vAlign w:val="center"/>
          </w:tcPr>
          <w:p w14:paraId="020DDE70" w14:textId="77777777" w:rsidR="0072092A" w:rsidRPr="005E0DBD" w:rsidRDefault="0072092A" w:rsidP="00306771">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2020</w:t>
            </w:r>
          </w:p>
        </w:tc>
        <w:tc>
          <w:tcPr>
            <w:tcW w:w="760" w:type="pct"/>
            <w:vAlign w:val="center"/>
          </w:tcPr>
          <w:p w14:paraId="691B2010" w14:textId="77777777" w:rsidR="0072092A" w:rsidRPr="005E0DBD" w:rsidRDefault="0072092A" w:rsidP="00394C1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2030</w:t>
            </w:r>
          </w:p>
        </w:tc>
        <w:tc>
          <w:tcPr>
            <w:tcW w:w="760" w:type="pct"/>
            <w:vAlign w:val="center"/>
          </w:tcPr>
          <w:p w14:paraId="50A9FA8D" w14:textId="77777777" w:rsidR="0072092A" w:rsidRPr="005E0DBD" w:rsidRDefault="0072092A" w:rsidP="00394C1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2050</w:t>
            </w:r>
          </w:p>
        </w:tc>
        <w:tc>
          <w:tcPr>
            <w:tcW w:w="760" w:type="pct"/>
            <w:vAlign w:val="center"/>
          </w:tcPr>
          <w:p w14:paraId="0F945551" w14:textId="74024D7B" w:rsidR="0072092A" w:rsidRPr="005E0DBD" w:rsidRDefault="0072092A" w:rsidP="0072092A">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C22F21">
              <w:rPr>
                <w:rFonts w:ascii="Arial Narrow" w:hAnsi="Arial Narrow"/>
                <w:sz w:val="18"/>
              </w:rPr>
              <w:t>% Change from Current by 2050</w:t>
            </w:r>
          </w:p>
        </w:tc>
      </w:tr>
      <w:tr w:rsidR="0072092A" w:rsidRPr="005E0DBD" w14:paraId="5341FDEB" w14:textId="4899BA4D"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8" w:type="pct"/>
          </w:tcPr>
          <w:p w14:paraId="5E1D690A" w14:textId="75A65B03" w:rsidR="0072092A" w:rsidRPr="005E0DBD" w:rsidRDefault="0072092A" w:rsidP="0072092A">
            <w:pPr>
              <w:spacing w:line="276" w:lineRule="auto"/>
              <w:rPr>
                <w:rFonts w:ascii="Arial Narrow" w:hAnsi="Arial Narrow"/>
              </w:rPr>
            </w:pPr>
            <w:r>
              <w:rPr>
                <w:rFonts w:ascii="Arial Narrow" w:hAnsi="Arial Narrow"/>
              </w:rPr>
              <w:t>Total*</w:t>
            </w:r>
          </w:p>
        </w:tc>
        <w:tc>
          <w:tcPr>
            <w:tcW w:w="760" w:type="pct"/>
          </w:tcPr>
          <w:p w14:paraId="29538717" w14:textId="09FE7CC0"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B93DF1">
              <w:rPr>
                <w:rFonts w:ascii="Arial Narrow" w:hAnsi="Arial Narrow"/>
                <w:sz w:val="20"/>
              </w:rPr>
              <w:t>9</w:t>
            </w:r>
            <w:r>
              <w:rPr>
                <w:rFonts w:ascii="Arial Narrow" w:hAnsi="Arial Narrow"/>
                <w:sz w:val="20"/>
              </w:rPr>
              <w:t>3</w:t>
            </w:r>
            <w:r w:rsidRPr="00B93DF1">
              <w:rPr>
                <w:rFonts w:ascii="Arial Narrow" w:hAnsi="Arial Narrow"/>
                <w:sz w:val="20"/>
              </w:rPr>
              <w:t>,</w:t>
            </w:r>
            <w:r>
              <w:rPr>
                <w:rFonts w:ascii="Arial Narrow" w:hAnsi="Arial Narrow"/>
                <w:sz w:val="20"/>
              </w:rPr>
              <w:t>7</w:t>
            </w:r>
            <w:r w:rsidRPr="00B93DF1">
              <w:rPr>
                <w:rFonts w:ascii="Arial Narrow" w:hAnsi="Arial Narrow"/>
                <w:sz w:val="20"/>
              </w:rPr>
              <w:t>00</w:t>
            </w:r>
          </w:p>
        </w:tc>
        <w:tc>
          <w:tcPr>
            <w:tcW w:w="760" w:type="pct"/>
          </w:tcPr>
          <w:p w14:paraId="04724AC3" w14:textId="03049291"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85,600</w:t>
            </w:r>
          </w:p>
        </w:tc>
        <w:tc>
          <w:tcPr>
            <w:tcW w:w="760" w:type="pct"/>
          </w:tcPr>
          <w:p w14:paraId="2FAAC04E" w14:textId="61777CB8"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68,900</w:t>
            </w:r>
          </w:p>
        </w:tc>
        <w:tc>
          <w:tcPr>
            <w:tcW w:w="760" w:type="pct"/>
          </w:tcPr>
          <w:p w14:paraId="44A04348" w14:textId="3FF899F4"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31,400</w:t>
            </w:r>
          </w:p>
        </w:tc>
        <w:tc>
          <w:tcPr>
            <w:tcW w:w="760" w:type="pct"/>
          </w:tcPr>
          <w:p w14:paraId="4C8CE673" w14:textId="04AD4BDC"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-66%</w:t>
            </w:r>
          </w:p>
        </w:tc>
      </w:tr>
      <w:tr w:rsidR="0072092A" w:rsidRPr="005E0DBD" w14:paraId="321E6B37" w14:textId="5471B8BF" w:rsidTr="00394C10">
        <w:tc>
          <w:tcPr>
            <w:cnfStyle w:val="001000000000" w:firstRow="0" w:lastRow="0" w:firstColumn="1" w:lastColumn="0" w:oddVBand="0" w:evenVBand="0" w:oddHBand="0" w:evenHBand="0" w:firstRowFirstColumn="0" w:firstRowLastColumn="0" w:lastRowFirstColumn="0" w:lastRowLastColumn="0"/>
            <w:tcW w:w="1198" w:type="pct"/>
          </w:tcPr>
          <w:p w14:paraId="25B6F544" w14:textId="77777777" w:rsidR="0072092A" w:rsidRPr="005E0DBD" w:rsidRDefault="0072092A" w:rsidP="0072092A">
            <w:pPr>
              <w:spacing w:line="276" w:lineRule="auto"/>
              <w:jc w:val="both"/>
              <w:rPr>
                <w:rFonts w:ascii="Arial Narrow" w:hAnsi="Arial Narrow"/>
                <w:i/>
              </w:rPr>
            </w:pPr>
            <w:r w:rsidRPr="005E0DBD">
              <w:rPr>
                <w:rFonts w:ascii="Arial Narrow" w:hAnsi="Arial Narrow"/>
                <w:i/>
              </w:rPr>
              <w:t>by sector</w:t>
            </w:r>
          </w:p>
        </w:tc>
        <w:tc>
          <w:tcPr>
            <w:tcW w:w="760" w:type="pct"/>
          </w:tcPr>
          <w:p w14:paraId="76EC03D2" w14:textId="77777777"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575B927D" w14:textId="77777777"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6F0FA158" w14:textId="77777777"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45ADA84D" w14:textId="77777777"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60" w:type="pct"/>
          </w:tcPr>
          <w:p w14:paraId="29C9519A" w14:textId="77777777"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r>
      <w:tr w:rsidR="0072092A" w:rsidRPr="005E0DBD" w14:paraId="32CE8E79" w14:textId="2B4C4F19"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8" w:type="pct"/>
          </w:tcPr>
          <w:p w14:paraId="5403DD45" w14:textId="77777777" w:rsidR="0072092A" w:rsidRPr="005E0DBD" w:rsidRDefault="0072092A" w:rsidP="0072092A">
            <w:pPr>
              <w:spacing w:line="276" w:lineRule="auto"/>
              <w:ind w:left="171"/>
              <w:jc w:val="both"/>
              <w:rPr>
                <w:rFonts w:ascii="Arial Narrow" w:hAnsi="Arial Narrow"/>
              </w:rPr>
            </w:pPr>
            <w:r w:rsidRPr="005E0DBD">
              <w:rPr>
                <w:rFonts w:ascii="Arial Narrow" w:hAnsi="Arial Narrow"/>
              </w:rPr>
              <w:t>Buildings</w:t>
            </w:r>
          </w:p>
        </w:tc>
        <w:tc>
          <w:tcPr>
            <w:tcW w:w="760" w:type="pct"/>
          </w:tcPr>
          <w:p w14:paraId="334C7410" w14:textId="3F3700D4"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46,900</w:t>
            </w:r>
          </w:p>
        </w:tc>
        <w:tc>
          <w:tcPr>
            <w:tcW w:w="760" w:type="pct"/>
          </w:tcPr>
          <w:p w14:paraId="170D550B" w14:textId="3C27A107"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44,100</w:t>
            </w:r>
          </w:p>
        </w:tc>
        <w:tc>
          <w:tcPr>
            <w:tcW w:w="760" w:type="pct"/>
          </w:tcPr>
          <w:p w14:paraId="7584488E" w14:textId="5759657B"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31,800</w:t>
            </w:r>
          </w:p>
        </w:tc>
        <w:tc>
          <w:tcPr>
            <w:tcW w:w="760" w:type="pct"/>
          </w:tcPr>
          <w:p w14:paraId="6EE06D50" w14:textId="1B96F4A8"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0</w:t>
            </w:r>
          </w:p>
        </w:tc>
        <w:tc>
          <w:tcPr>
            <w:tcW w:w="760" w:type="pct"/>
          </w:tcPr>
          <w:p w14:paraId="298336DE" w14:textId="3D79CCA9"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-100%</w:t>
            </w:r>
          </w:p>
        </w:tc>
      </w:tr>
      <w:tr w:rsidR="0072092A" w:rsidRPr="005E0DBD" w14:paraId="056327BC" w14:textId="29DCB2C0" w:rsidTr="00394C10">
        <w:tc>
          <w:tcPr>
            <w:cnfStyle w:val="001000000000" w:firstRow="0" w:lastRow="0" w:firstColumn="1" w:lastColumn="0" w:oddVBand="0" w:evenVBand="0" w:oddHBand="0" w:evenHBand="0" w:firstRowFirstColumn="0" w:firstRowLastColumn="0" w:lastRowFirstColumn="0" w:lastRowLastColumn="0"/>
            <w:tcW w:w="1198" w:type="pct"/>
          </w:tcPr>
          <w:p w14:paraId="393C8DE7" w14:textId="093483C3" w:rsidR="0072092A" w:rsidRPr="005E0DBD" w:rsidRDefault="0072092A" w:rsidP="0072092A">
            <w:pPr>
              <w:spacing w:line="276" w:lineRule="auto"/>
              <w:ind w:left="171"/>
              <w:jc w:val="both"/>
              <w:rPr>
                <w:rFonts w:ascii="Arial Narrow" w:hAnsi="Arial Narrow"/>
              </w:rPr>
            </w:pPr>
            <w:r w:rsidRPr="005E0DBD">
              <w:rPr>
                <w:rFonts w:ascii="Arial Narrow" w:hAnsi="Arial Narrow"/>
              </w:rPr>
              <w:t>Transportation</w:t>
            </w:r>
          </w:p>
        </w:tc>
        <w:tc>
          <w:tcPr>
            <w:tcW w:w="760" w:type="pct"/>
          </w:tcPr>
          <w:p w14:paraId="631C9781" w14:textId="3EAF8231"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46,800</w:t>
            </w:r>
          </w:p>
        </w:tc>
        <w:tc>
          <w:tcPr>
            <w:tcW w:w="760" w:type="pct"/>
          </w:tcPr>
          <w:p w14:paraId="5AED1FBB" w14:textId="6E226E09"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41,500</w:t>
            </w:r>
          </w:p>
        </w:tc>
        <w:tc>
          <w:tcPr>
            <w:tcW w:w="760" w:type="pct"/>
          </w:tcPr>
          <w:p w14:paraId="55E72A0A" w14:textId="39E4401D"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37,100</w:t>
            </w:r>
          </w:p>
        </w:tc>
        <w:tc>
          <w:tcPr>
            <w:tcW w:w="760" w:type="pct"/>
          </w:tcPr>
          <w:p w14:paraId="2044AB0F" w14:textId="047C614B"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31,400</w:t>
            </w:r>
          </w:p>
        </w:tc>
        <w:tc>
          <w:tcPr>
            <w:tcW w:w="760" w:type="pct"/>
          </w:tcPr>
          <w:p w14:paraId="12C229E6" w14:textId="0743EFF2"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-33%</w:t>
            </w:r>
          </w:p>
        </w:tc>
      </w:tr>
      <w:tr w:rsidR="0072092A" w:rsidRPr="005E0DBD" w14:paraId="45CD8514" w14:textId="3DCE0E3C"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8" w:type="pct"/>
          </w:tcPr>
          <w:p w14:paraId="47F7FD23" w14:textId="77777777" w:rsidR="0072092A" w:rsidRPr="005E0DBD" w:rsidRDefault="0072092A" w:rsidP="0072092A">
            <w:pPr>
              <w:spacing w:line="276" w:lineRule="auto"/>
              <w:jc w:val="both"/>
              <w:rPr>
                <w:rFonts w:ascii="Arial Narrow" w:hAnsi="Arial Narrow"/>
                <w:i/>
              </w:rPr>
            </w:pPr>
            <w:r w:rsidRPr="005E0DBD">
              <w:rPr>
                <w:rFonts w:ascii="Arial Narrow" w:hAnsi="Arial Narrow"/>
                <w:i/>
              </w:rPr>
              <w:t>by fuel type</w:t>
            </w:r>
          </w:p>
        </w:tc>
        <w:tc>
          <w:tcPr>
            <w:tcW w:w="760" w:type="pct"/>
          </w:tcPr>
          <w:p w14:paraId="0FB6F724" w14:textId="77777777"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7933E83B" w14:textId="77777777"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57611C90" w14:textId="77777777"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4391A757" w14:textId="77777777"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60" w:type="pct"/>
          </w:tcPr>
          <w:p w14:paraId="2504D7AF" w14:textId="77777777"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r>
      <w:tr w:rsidR="0072092A" w:rsidRPr="005E0DBD" w14:paraId="40C07DD0" w14:textId="45D31DC7" w:rsidTr="00394C10">
        <w:tc>
          <w:tcPr>
            <w:cnfStyle w:val="001000000000" w:firstRow="0" w:lastRow="0" w:firstColumn="1" w:lastColumn="0" w:oddVBand="0" w:evenVBand="0" w:oddHBand="0" w:evenHBand="0" w:firstRowFirstColumn="0" w:firstRowLastColumn="0" w:lastRowFirstColumn="0" w:lastRowLastColumn="0"/>
            <w:tcW w:w="1198" w:type="pct"/>
          </w:tcPr>
          <w:p w14:paraId="78772D40" w14:textId="77777777" w:rsidR="0072092A" w:rsidRPr="005E0DBD" w:rsidRDefault="0072092A" w:rsidP="0072092A">
            <w:pPr>
              <w:spacing w:line="276" w:lineRule="auto"/>
              <w:ind w:left="171"/>
              <w:jc w:val="both"/>
              <w:rPr>
                <w:rFonts w:ascii="Arial Narrow" w:hAnsi="Arial Narrow"/>
              </w:rPr>
            </w:pPr>
            <w:r w:rsidRPr="005E0DBD">
              <w:rPr>
                <w:rFonts w:ascii="Arial Narrow" w:hAnsi="Arial Narrow"/>
              </w:rPr>
              <w:t>Electricity</w:t>
            </w:r>
          </w:p>
        </w:tc>
        <w:tc>
          <w:tcPr>
            <w:tcW w:w="760" w:type="pct"/>
          </w:tcPr>
          <w:p w14:paraId="0F0FDA0D" w14:textId="32AD3C09"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35,200</w:t>
            </w:r>
          </w:p>
        </w:tc>
        <w:tc>
          <w:tcPr>
            <w:tcW w:w="760" w:type="pct"/>
          </w:tcPr>
          <w:p w14:paraId="6E2CEA7A" w14:textId="3AE4EB2E"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33,800</w:t>
            </w:r>
          </w:p>
        </w:tc>
        <w:tc>
          <w:tcPr>
            <w:tcW w:w="760" w:type="pct"/>
          </w:tcPr>
          <w:p w14:paraId="4C2C4EA5" w14:textId="7B1F093E"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26,200</w:t>
            </w:r>
          </w:p>
        </w:tc>
        <w:tc>
          <w:tcPr>
            <w:tcW w:w="760" w:type="pct"/>
          </w:tcPr>
          <w:p w14:paraId="5AD1E163" w14:textId="70B27EF0"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0</w:t>
            </w:r>
          </w:p>
        </w:tc>
        <w:tc>
          <w:tcPr>
            <w:tcW w:w="760" w:type="pct"/>
          </w:tcPr>
          <w:p w14:paraId="4F2A46E4" w14:textId="144CA063"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-100%</w:t>
            </w:r>
          </w:p>
        </w:tc>
      </w:tr>
      <w:tr w:rsidR="0072092A" w:rsidRPr="005E0DBD" w14:paraId="29716B6D" w14:textId="23EE6C60"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8" w:type="pct"/>
          </w:tcPr>
          <w:p w14:paraId="33A76F27" w14:textId="77777777" w:rsidR="0072092A" w:rsidRPr="005E0DBD" w:rsidRDefault="0072092A" w:rsidP="0072092A">
            <w:pPr>
              <w:spacing w:line="276" w:lineRule="auto"/>
              <w:ind w:left="171"/>
              <w:jc w:val="both"/>
              <w:rPr>
                <w:rFonts w:ascii="Arial Narrow" w:hAnsi="Arial Narrow"/>
              </w:rPr>
            </w:pPr>
            <w:r w:rsidRPr="005E0DBD">
              <w:rPr>
                <w:rFonts w:ascii="Arial Narrow" w:hAnsi="Arial Narrow"/>
              </w:rPr>
              <w:t>Natural Gas</w:t>
            </w:r>
          </w:p>
        </w:tc>
        <w:tc>
          <w:tcPr>
            <w:tcW w:w="760" w:type="pct"/>
          </w:tcPr>
          <w:p w14:paraId="395FF5CC" w14:textId="0ABCC14A"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12,100</w:t>
            </w:r>
          </w:p>
        </w:tc>
        <w:tc>
          <w:tcPr>
            <w:tcW w:w="760" w:type="pct"/>
          </w:tcPr>
          <w:p w14:paraId="316569A7" w14:textId="064FF05B"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11,100</w:t>
            </w:r>
          </w:p>
        </w:tc>
        <w:tc>
          <w:tcPr>
            <w:tcW w:w="760" w:type="pct"/>
          </w:tcPr>
          <w:p w14:paraId="1A92FDA4" w14:textId="43C47693"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8,800</w:t>
            </w:r>
          </w:p>
        </w:tc>
        <w:tc>
          <w:tcPr>
            <w:tcW w:w="760" w:type="pct"/>
          </w:tcPr>
          <w:p w14:paraId="14194B7B" w14:textId="6305C2FC"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0</w:t>
            </w:r>
          </w:p>
        </w:tc>
        <w:tc>
          <w:tcPr>
            <w:tcW w:w="760" w:type="pct"/>
          </w:tcPr>
          <w:p w14:paraId="0CC066A9" w14:textId="335D1071"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-100%</w:t>
            </w:r>
          </w:p>
        </w:tc>
      </w:tr>
      <w:tr w:rsidR="0072092A" w:rsidRPr="005E0DBD" w14:paraId="61DD0A8E" w14:textId="4C2F1552" w:rsidTr="00394C10">
        <w:tc>
          <w:tcPr>
            <w:cnfStyle w:val="001000000000" w:firstRow="0" w:lastRow="0" w:firstColumn="1" w:lastColumn="0" w:oddVBand="0" w:evenVBand="0" w:oddHBand="0" w:evenHBand="0" w:firstRowFirstColumn="0" w:firstRowLastColumn="0" w:lastRowFirstColumn="0" w:lastRowLastColumn="0"/>
            <w:tcW w:w="1198" w:type="pct"/>
          </w:tcPr>
          <w:p w14:paraId="7F3301D8" w14:textId="77777777" w:rsidR="0072092A" w:rsidRPr="005E0DBD" w:rsidRDefault="0072092A" w:rsidP="0072092A">
            <w:pPr>
              <w:spacing w:line="276" w:lineRule="auto"/>
              <w:ind w:left="171"/>
              <w:jc w:val="both"/>
              <w:rPr>
                <w:rFonts w:ascii="Arial Narrow" w:hAnsi="Arial Narrow"/>
              </w:rPr>
            </w:pPr>
            <w:r w:rsidRPr="005E0DBD">
              <w:rPr>
                <w:rFonts w:ascii="Arial Narrow" w:hAnsi="Arial Narrow"/>
              </w:rPr>
              <w:t>Gasoline and Diesel</w:t>
            </w:r>
          </w:p>
        </w:tc>
        <w:tc>
          <w:tcPr>
            <w:tcW w:w="760" w:type="pct"/>
          </w:tcPr>
          <w:p w14:paraId="62DAC616" w14:textId="6F1638BA"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46,400</w:t>
            </w:r>
          </w:p>
        </w:tc>
        <w:tc>
          <w:tcPr>
            <w:tcW w:w="760" w:type="pct"/>
          </w:tcPr>
          <w:p w14:paraId="7DEE1554" w14:textId="428B2916"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40,700</w:t>
            </w:r>
          </w:p>
        </w:tc>
        <w:tc>
          <w:tcPr>
            <w:tcW w:w="760" w:type="pct"/>
          </w:tcPr>
          <w:p w14:paraId="31B52177" w14:textId="6FB41206"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33,900</w:t>
            </w:r>
          </w:p>
        </w:tc>
        <w:tc>
          <w:tcPr>
            <w:tcW w:w="760" w:type="pct"/>
          </w:tcPr>
          <w:p w14:paraId="0CD1A614" w14:textId="6A2452A2"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31,400</w:t>
            </w:r>
          </w:p>
        </w:tc>
        <w:tc>
          <w:tcPr>
            <w:tcW w:w="760" w:type="pct"/>
          </w:tcPr>
          <w:p w14:paraId="4551BFE8" w14:textId="5458D328"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-32%</w:t>
            </w:r>
          </w:p>
        </w:tc>
      </w:tr>
      <w:tr w:rsidR="0072092A" w:rsidRPr="005E0DBD" w14:paraId="1156CF0A" w14:textId="6C3C0E4E"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8" w:type="pct"/>
          </w:tcPr>
          <w:p w14:paraId="77EAD9C0" w14:textId="77777777" w:rsidR="0072092A" w:rsidRPr="005E0DBD" w:rsidRDefault="0072092A" w:rsidP="0072092A">
            <w:pPr>
              <w:spacing w:line="276" w:lineRule="auto"/>
              <w:ind w:left="171"/>
              <w:jc w:val="both"/>
              <w:rPr>
                <w:rFonts w:ascii="Arial Narrow" w:hAnsi="Arial Narrow"/>
              </w:rPr>
            </w:pPr>
            <w:r>
              <w:rPr>
                <w:rFonts w:ascii="Arial Narrow" w:hAnsi="Arial Narrow"/>
              </w:rPr>
              <w:t>District Energy</w:t>
            </w:r>
          </w:p>
        </w:tc>
        <w:tc>
          <w:tcPr>
            <w:tcW w:w="760" w:type="pct"/>
          </w:tcPr>
          <w:p w14:paraId="07B097BC" w14:textId="0E8304C5"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0</w:t>
            </w:r>
          </w:p>
        </w:tc>
        <w:tc>
          <w:tcPr>
            <w:tcW w:w="760" w:type="pct"/>
          </w:tcPr>
          <w:p w14:paraId="1CB9B9E0" w14:textId="535AACF7"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0</w:t>
            </w:r>
          </w:p>
        </w:tc>
        <w:tc>
          <w:tcPr>
            <w:tcW w:w="760" w:type="pct"/>
          </w:tcPr>
          <w:p w14:paraId="1C1C9128" w14:textId="58AA70CC"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0</w:t>
            </w:r>
          </w:p>
        </w:tc>
        <w:tc>
          <w:tcPr>
            <w:tcW w:w="760" w:type="pct"/>
          </w:tcPr>
          <w:p w14:paraId="0EF969A6" w14:textId="1DB61F9F"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0</w:t>
            </w:r>
          </w:p>
        </w:tc>
        <w:tc>
          <w:tcPr>
            <w:tcW w:w="760" w:type="pct"/>
          </w:tcPr>
          <w:p w14:paraId="56FDBD2C" w14:textId="7F7712B9"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n/a</w:t>
            </w:r>
          </w:p>
        </w:tc>
      </w:tr>
    </w:tbl>
    <w:tbl>
      <w:tblPr>
        <w:tblStyle w:val="GridTable4-Accent61"/>
        <w:tblW w:w="5000" w:type="pct"/>
        <w:tblLayout w:type="fixed"/>
        <w:tblLook w:val="04A0" w:firstRow="1" w:lastRow="0" w:firstColumn="1" w:lastColumn="0" w:noHBand="0" w:noVBand="1"/>
      </w:tblPr>
      <w:tblGrid>
        <w:gridCol w:w="2264"/>
        <w:gridCol w:w="1418"/>
        <w:gridCol w:w="1417"/>
        <w:gridCol w:w="1417"/>
        <w:gridCol w:w="1417"/>
        <w:gridCol w:w="1417"/>
      </w:tblGrid>
      <w:tr w:rsidR="0072092A" w:rsidRPr="005E0DBD" w14:paraId="7E6881A6" w14:textId="733BFE10" w:rsidTr="00394C10">
        <w:trPr>
          <w:cnfStyle w:val="100000000000" w:firstRow="1" w:lastRow="0" w:firstColumn="0" w:lastColumn="0" w:oddVBand="0" w:evenVBand="0" w:oddHBand="0" w:evenHBand="0" w:firstRowFirstColumn="0" w:firstRowLastColumn="0" w:lastRowFirstColumn="0" w:lastRowLastColumn="0"/>
          <w:trHeight w:val="646"/>
        </w:trPr>
        <w:tc>
          <w:tcPr>
            <w:cnfStyle w:val="001000000000" w:firstRow="0" w:lastRow="0" w:firstColumn="1" w:lastColumn="0" w:oddVBand="0" w:evenVBand="0" w:oddHBand="0" w:evenHBand="0" w:firstRowFirstColumn="0" w:firstRowLastColumn="0" w:lastRowFirstColumn="0" w:lastRowLastColumn="0"/>
            <w:tcW w:w="1210" w:type="pct"/>
            <w:vAlign w:val="center"/>
          </w:tcPr>
          <w:p w14:paraId="4A515BEB" w14:textId="6EE7E49C" w:rsidR="0072092A" w:rsidRPr="005E0DBD" w:rsidRDefault="0072092A" w:rsidP="00306771">
            <w:pPr>
              <w:spacing w:line="276" w:lineRule="auto"/>
              <w:rPr>
                <w:rFonts w:ascii="Arial Narrow" w:hAnsi="Arial Narrow"/>
              </w:rPr>
            </w:pPr>
            <w:r w:rsidRPr="005E0DBD">
              <w:rPr>
                <w:rFonts w:ascii="Arial Narrow" w:hAnsi="Arial Narrow"/>
              </w:rPr>
              <w:t>Energy Consumption (MMBtu)</w:t>
            </w:r>
          </w:p>
        </w:tc>
        <w:tc>
          <w:tcPr>
            <w:tcW w:w="758" w:type="pct"/>
            <w:vAlign w:val="center"/>
          </w:tcPr>
          <w:p w14:paraId="2E40236F" w14:textId="513A2A4F" w:rsidR="0072092A" w:rsidRPr="005E0DBD" w:rsidRDefault="0072092A" w:rsidP="00394C1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Current</w:t>
            </w:r>
          </w:p>
        </w:tc>
        <w:tc>
          <w:tcPr>
            <w:tcW w:w="758" w:type="pct"/>
            <w:vAlign w:val="center"/>
          </w:tcPr>
          <w:p w14:paraId="6D9C23BA" w14:textId="3F75F96F" w:rsidR="0072092A" w:rsidRPr="005E0DBD" w:rsidRDefault="0072092A" w:rsidP="00394C1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2020</w:t>
            </w:r>
          </w:p>
        </w:tc>
        <w:tc>
          <w:tcPr>
            <w:tcW w:w="758" w:type="pct"/>
            <w:vAlign w:val="center"/>
          </w:tcPr>
          <w:p w14:paraId="1A137E93" w14:textId="2BEEDDE9" w:rsidR="0072092A" w:rsidRPr="005E0DBD" w:rsidRDefault="0072092A" w:rsidP="00394C1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2030</w:t>
            </w:r>
          </w:p>
        </w:tc>
        <w:tc>
          <w:tcPr>
            <w:tcW w:w="758" w:type="pct"/>
            <w:vAlign w:val="center"/>
          </w:tcPr>
          <w:p w14:paraId="78EB855F" w14:textId="05C3EB2C" w:rsidR="0072092A" w:rsidRPr="005E0DBD" w:rsidRDefault="0072092A" w:rsidP="00394C1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5E0DBD">
              <w:rPr>
                <w:rFonts w:ascii="Arial Narrow" w:hAnsi="Arial Narrow"/>
              </w:rPr>
              <w:t>2050</w:t>
            </w:r>
          </w:p>
        </w:tc>
        <w:tc>
          <w:tcPr>
            <w:tcW w:w="758" w:type="pct"/>
            <w:vAlign w:val="center"/>
          </w:tcPr>
          <w:p w14:paraId="5F8EA81E" w14:textId="432737D6" w:rsidR="0072092A" w:rsidRPr="005E0DBD" w:rsidRDefault="0072092A" w:rsidP="00394C10">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Narrow" w:hAnsi="Arial Narrow"/>
              </w:rPr>
            </w:pPr>
            <w:r w:rsidRPr="00C22F21">
              <w:rPr>
                <w:rFonts w:ascii="Arial Narrow" w:hAnsi="Arial Narrow"/>
                <w:sz w:val="18"/>
              </w:rPr>
              <w:t>% Change from Current by 2050</w:t>
            </w:r>
          </w:p>
        </w:tc>
      </w:tr>
      <w:tr w:rsidR="0072092A" w:rsidRPr="005E0DBD" w14:paraId="02143649" w14:textId="7ED46DEC"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0" w:type="pct"/>
          </w:tcPr>
          <w:p w14:paraId="1C999CDE" w14:textId="0658D3F1" w:rsidR="0072092A" w:rsidRPr="00394C10" w:rsidRDefault="0072092A" w:rsidP="0072092A">
            <w:pPr>
              <w:spacing w:line="276" w:lineRule="auto"/>
              <w:jc w:val="both"/>
              <w:rPr>
                <w:rFonts w:ascii="Arial Narrow" w:hAnsi="Arial Narrow"/>
              </w:rPr>
            </w:pPr>
            <w:r>
              <w:rPr>
                <w:rFonts w:ascii="Arial Narrow" w:hAnsi="Arial Narrow"/>
              </w:rPr>
              <w:t>Total*</w:t>
            </w:r>
          </w:p>
        </w:tc>
        <w:tc>
          <w:tcPr>
            <w:tcW w:w="758" w:type="pct"/>
          </w:tcPr>
          <w:p w14:paraId="4C23BD99" w14:textId="0C200140"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i/>
                <w:sz w:val="20"/>
              </w:rPr>
            </w:pPr>
            <w:r>
              <w:rPr>
                <w:rFonts w:ascii="Arial Narrow" w:hAnsi="Arial Narrow"/>
                <w:sz w:val="20"/>
              </w:rPr>
              <w:t>1,061,200</w:t>
            </w:r>
          </w:p>
        </w:tc>
        <w:tc>
          <w:tcPr>
            <w:tcW w:w="758" w:type="pct"/>
          </w:tcPr>
          <w:p w14:paraId="122D8554" w14:textId="35F0F7CA"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394C10">
              <w:rPr>
                <w:rFonts w:ascii="Arial Narrow" w:hAnsi="Arial Narrow"/>
                <w:sz w:val="20"/>
              </w:rPr>
              <w:t>990,300</w:t>
            </w:r>
          </w:p>
        </w:tc>
        <w:tc>
          <w:tcPr>
            <w:tcW w:w="758" w:type="pct"/>
          </w:tcPr>
          <w:p w14:paraId="7760ACD2" w14:textId="785ECAEF"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394C10">
              <w:rPr>
                <w:rFonts w:ascii="Arial Narrow" w:hAnsi="Arial Narrow"/>
                <w:sz w:val="20"/>
              </w:rPr>
              <w:t>948,100</w:t>
            </w:r>
          </w:p>
        </w:tc>
        <w:tc>
          <w:tcPr>
            <w:tcW w:w="758" w:type="pct"/>
          </w:tcPr>
          <w:p w14:paraId="52D2F52A" w14:textId="679C28C2"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sidRPr="00394C10">
              <w:rPr>
                <w:rFonts w:ascii="Arial Narrow" w:hAnsi="Arial Narrow"/>
                <w:sz w:val="20"/>
              </w:rPr>
              <w:t>846,900</w:t>
            </w:r>
          </w:p>
        </w:tc>
        <w:tc>
          <w:tcPr>
            <w:tcW w:w="758" w:type="pct"/>
          </w:tcPr>
          <w:p w14:paraId="3689ED92" w14:textId="4684A97E"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-20%</w:t>
            </w:r>
          </w:p>
        </w:tc>
      </w:tr>
      <w:tr w:rsidR="0072092A" w:rsidRPr="005E0DBD" w14:paraId="1AA1136F" w14:textId="646BD72C" w:rsidTr="00394C10">
        <w:tc>
          <w:tcPr>
            <w:cnfStyle w:val="001000000000" w:firstRow="0" w:lastRow="0" w:firstColumn="1" w:lastColumn="0" w:oddVBand="0" w:evenVBand="0" w:oddHBand="0" w:evenHBand="0" w:firstRowFirstColumn="0" w:firstRowLastColumn="0" w:lastRowFirstColumn="0" w:lastRowLastColumn="0"/>
            <w:tcW w:w="1210" w:type="pct"/>
          </w:tcPr>
          <w:p w14:paraId="0A42AC21" w14:textId="77777777" w:rsidR="0072092A" w:rsidRPr="005E0DBD" w:rsidRDefault="0072092A" w:rsidP="0072092A">
            <w:pPr>
              <w:spacing w:line="276" w:lineRule="auto"/>
              <w:jc w:val="both"/>
              <w:rPr>
                <w:rFonts w:ascii="Arial Narrow" w:hAnsi="Arial Narrow"/>
                <w:i/>
              </w:rPr>
            </w:pPr>
            <w:r w:rsidRPr="005E0DBD">
              <w:rPr>
                <w:rFonts w:ascii="Arial Narrow" w:hAnsi="Arial Narrow"/>
                <w:i/>
              </w:rPr>
              <w:t>by sector</w:t>
            </w:r>
          </w:p>
        </w:tc>
        <w:tc>
          <w:tcPr>
            <w:tcW w:w="758" w:type="pct"/>
          </w:tcPr>
          <w:p w14:paraId="3AD213FA" w14:textId="77777777"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i/>
                <w:sz w:val="20"/>
              </w:rPr>
            </w:pPr>
          </w:p>
        </w:tc>
        <w:tc>
          <w:tcPr>
            <w:tcW w:w="758" w:type="pct"/>
          </w:tcPr>
          <w:p w14:paraId="28553B2F" w14:textId="77777777"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58" w:type="pct"/>
          </w:tcPr>
          <w:p w14:paraId="68CC39FC" w14:textId="77777777"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58" w:type="pct"/>
          </w:tcPr>
          <w:p w14:paraId="7DD9766C" w14:textId="77777777"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c>
          <w:tcPr>
            <w:tcW w:w="758" w:type="pct"/>
          </w:tcPr>
          <w:p w14:paraId="182AAAB9" w14:textId="77777777"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p>
        </w:tc>
      </w:tr>
      <w:tr w:rsidR="0072092A" w:rsidRPr="005E0DBD" w14:paraId="1A8AA773" w14:textId="37E438B9"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0" w:type="pct"/>
          </w:tcPr>
          <w:p w14:paraId="30734917" w14:textId="77777777" w:rsidR="0072092A" w:rsidRPr="005E0DBD" w:rsidRDefault="0072092A" w:rsidP="0072092A">
            <w:pPr>
              <w:spacing w:line="276" w:lineRule="auto"/>
              <w:ind w:left="171"/>
              <w:jc w:val="both"/>
              <w:rPr>
                <w:rFonts w:ascii="Arial Narrow" w:hAnsi="Arial Narrow"/>
              </w:rPr>
            </w:pPr>
            <w:r w:rsidRPr="005E0DBD">
              <w:rPr>
                <w:rFonts w:ascii="Arial Narrow" w:hAnsi="Arial Narrow"/>
              </w:rPr>
              <w:t>Buildings</w:t>
            </w:r>
          </w:p>
        </w:tc>
        <w:tc>
          <w:tcPr>
            <w:tcW w:w="758" w:type="pct"/>
          </w:tcPr>
          <w:p w14:paraId="51C7C0EF" w14:textId="48219AF3"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443,700</w:t>
            </w:r>
          </w:p>
        </w:tc>
        <w:tc>
          <w:tcPr>
            <w:tcW w:w="758" w:type="pct"/>
          </w:tcPr>
          <w:p w14:paraId="774178E6" w14:textId="4C423D4F"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445,600</w:t>
            </w:r>
          </w:p>
        </w:tc>
        <w:tc>
          <w:tcPr>
            <w:tcW w:w="758" w:type="pct"/>
          </w:tcPr>
          <w:p w14:paraId="25C7F4DC" w14:textId="2436E228"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466,500</w:t>
            </w:r>
          </w:p>
        </w:tc>
        <w:tc>
          <w:tcPr>
            <w:tcW w:w="758" w:type="pct"/>
          </w:tcPr>
          <w:p w14:paraId="03096595" w14:textId="688EE5EE"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390,900</w:t>
            </w:r>
          </w:p>
        </w:tc>
        <w:tc>
          <w:tcPr>
            <w:tcW w:w="758" w:type="pct"/>
          </w:tcPr>
          <w:p w14:paraId="4960EFEB" w14:textId="5801C84E"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-12%</w:t>
            </w:r>
          </w:p>
        </w:tc>
      </w:tr>
      <w:tr w:rsidR="0072092A" w:rsidRPr="005E0DBD" w14:paraId="3F36624B" w14:textId="26E0D4A0" w:rsidTr="00394C10">
        <w:tc>
          <w:tcPr>
            <w:cnfStyle w:val="001000000000" w:firstRow="0" w:lastRow="0" w:firstColumn="1" w:lastColumn="0" w:oddVBand="0" w:evenVBand="0" w:oddHBand="0" w:evenHBand="0" w:firstRowFirstColumn="0" w:firstRowLastColumn="0" w:lastRowFirstColumn="0" w:lastRowLastColumn="0"/>
            <w:tcW w:w="1210" w:type="pct"/>
          </w:tcPr>
          <w:p w14:paraId="5446A199" w14:textId="4D17CDA7" w:rsidR="0072092A" w:rsidRPr="005E0DBD" w:rsidRDefault="0072092A" w:rsidP="0072092A">
            <w:pPr>
              <w:spacing w:line="276" w:lineRule="auto"/>
              <w:ind w:left="171"/>
              <w:jc w:val="both"/>
              <w:rPr>
                <w:rFonts w:ascii="Arial Narrow" w:hAnsi="Arial Narrow"/>
              </w:rPr>
            </w:pPr>
            <w:r w:rsidRPr="005E0DBD">
              <w:rPr>
                <w:rFonts w:ascii="Arial Narrow" w:hAnsi="Arial Narrow"/>
              </w:rPr>
              <w:t>Transportation</w:t>
            </w:r>
          </w:p>
        </w:tc>
        <w:tc>
          <w:tcPr>
            <w:tcW w:w="758" w:type="pct"/>
          </w:tcPr>
          <w:p w14:paraId="34B24B9D" w14:textId="2539529E"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617,500</w:t>
            </w:r>
          </w:p>
        </w:tc>
        <w:tc>
          <w:tcPr>
            <w:tcW w:w="758" w:type="pct"/>
          </w:tcPr>
          <w:p w14:paraId="370BA87E" w14:textId="23232DCC"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544,700</w:t>
            </w:r>
          </w:p>
        </w:tc>
        <w:tc>
          <w:tcPr>
            <w:tcW w:w="758" w:type="pct"/>
          </w:tcPr>
          <w:p w14:paraId="554BB72C" w14:textId="17A0C002"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481,600</w:t>
            </w:r>
          </w:p>
        </w:tc>
        <w:tc>
          <w:tcPr>
            <w:tcW w:w="758" w:type="pct"/>
          </w:tcPr>
          <w:p w14:paraId="54BF052D" w14:textId="0CF2B87D"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456,000</w:t>
            </w:r>
          </w:p>
        </w:tc>
        <w:tc>
          <w:tcPr>
            <w:tcW w:w="758" w:type="pct"/>
          </w:tcPr>
          <w:p w14:paraId="1A49D831" w14:textId="12550D75"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-26%</w:t>
            </w:r>
          </w:p>
        </w:tc>
      </w:tr>
      <w:tr w:rsidR="0072092A" w:rsidRPr="005E0DBD" w14:paraId="38153FE0" w14:textId="1DF79004"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0" w:type="pct"/>
          </w:tcPr>
          <w:p w14:paraId="2465B402" w14:textId="77777777" w:rsidR="0072092A" w:rsidRPr="005E0DBD" w:rsidRDefault="0072092A" w:rsidP="0072092A">
            <w:pPr>
              <w:spacing w:line="276" w:lineRule="auto"/>
              <w:jc w:val="both"/>
              <w:rPr>
                <w:rFonts w:ascii="Arial Narrow" w:hAnsi="Arial Narrow"/>
                <w:i/>
              </w:rPr>
            </w:pPr>
            <w:r w:rsidRPr="005E0DBD">
              <w:rPr>
                <w:rFonts w:ascii="Arial Narrow" w:hAnsi="Arial Narrow"/>
                <w:i/>
              </w:rPr>
              <w:t>by fuel type</w:t>
            </w:r>
          </w:p>
        </w:tc>
        <w:tc>
          <w:tcPr>
            <w:tcW w:w="758" w:type="pct"/>
          </w:tcPr>
          <w:p w14:paraId="6CB7859E" w14:textId="77777777"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58" w:type="pct"/>
          </w:tcPr>
          <w:p w14:paraId="578DF6E2" w14:textId="77777777"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58" w:type="pct"/>
          </w:tcPr>
          <w:p w14:paraId="7C4518EF" w14:textId="77777777"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58" w:type="pct"/>
          </w:tcPr>
          <w:p w14:paraId="01DA8B0E" w14:textId="77777777"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c>
          <w:tcPr>
            <w:tcW w:w="758" w:type="pct"/>
          </w:tcPr>
          <w:p w14:paraId="3D5CB67B" w14:textId="77777777"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p>
        </w:tc>
      </w:tr>
      <w:tr w:rsidR="0072092A" w:rsidRPr="005E0DBD" w14:paraId="6759977E" w14:textId="28D15C09" w:rsidTr="00394C10">
        <w:tc>
          <w:tcPr>
            <w:cnfStyle w:val="001000000000" w:firstRow="0" w:lastRow="0" w:firstColumn="1" w:lastColumn="0" w:oddVBand="0" w:evenVBand="0" w:oddHBand="0" w:evenHBand="0" w:firstRowFirstColumn="0" w:firstRowLastColumn="0" w:lastRowFirstColumn="0" w:lastRowLastColumn="0"/>
            <w:tcW w:w="1210" w:type="pct"/>
          </w:tcPr>
          <w:p w14:paraId="2240392A" w14:textId="71CB52F7" w:rsidR="0072092A" w:rsidRPr="005E0DBD" w:rsidRDefault="0072092A" w:rsidP="0072092A">
            <w:pPr>
              <w:spacing w:line="276" w:lineRule="auto"/>
              <w:ind w:left="171"/>
              <w:jc w:val="both"/>
              <w:rPr>
                <w:rFonts w:ascii="Arial Narrow" w:hAnsi="Arial Narrow"/>
              </w:rPr>
            </w:pPr>
            <w:r w:rsidRPr="005E0DBD">
              <w:rPr>
                <w:rFonts w:ascii="Arial Narrow" w:hAnsi="Arial Narrow"/>
              </w:rPr>
              <w:t>Electricity</w:t>
            </w:r>
            <w:r>
              <w:rPr>
                <w:rFonts w:ascii="Arial Narrow" w:hAnsi="Arial Narrow"/>
              </w:rPr>
              <w:t>**</w:t>
            </w:r>
          </w:p>
        </w:tc>
        <w:tc>
          <w:tcPr>
            <w:tcW w:w="758" w:type="pct"/>
          </w:tcPr>
          <w:p w14:paraId="14DDC100" w14:textId="569C49E2"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218,700</w:t>
            </w:r>
          </w:p>
        </w:tc>
        <w:tc>
          <w:tcPr>
            <w:tcW w:w="758" w:type="pct"/>
          </w:tcPr>
          <w:p w14:paraId="1A41CE15" w14:textId="44CB3EF7"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241,000</w:t>
            </w:r>
          </w:p>
        </w:tc>
        <w:tc>
          <w:tcPr>
            <w:tcW w:w="758" w:type="pct"/>
          </w:tcPr>
          <w:p w14:paraId="698BAE21" w14:textId="443B57BB"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298,100</w:t>
            </w:r>
          </w:p>
        </w:tc>
        <w:tc>
          <w:tcPr>
            <w:tcW w:w="758" w:type="pct"/>
          </w:tcPr>
          <w:p w14:paraId="2EA4122A" w14:textId="33A17E25"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382,300</w:t>
            </w:r>
          </w:p>
        </w:tc>
        <w:tc>
          <w:tcPr>
            <w:tcW w:w="758" w:type="pct"/>
          </w:tcPr>
          <w:p w14:paraId="02C48676" w14:textId="576E4AFA"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+75%</w:t>
            </w:r>
          </w:p>
        </w:tc>
      </w:tr>
      <w:tr w:rsidR="0072092A" w:rsidRPr="005E0DBD" w14:paraId="19E6A171" w14:textId="48671164"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0" w:type="pct"/>
          </w:tcPr>
          <w:p w14:paraId="7315AC7D" w14:textId="77777777" w:rsidR="0072092A" w:rsidRPr="005E0DBD" w:rsidRDefault="0072092A" w:rsidP="0072092A">
            <w:pPr>
              <w:spacing w:line="276" w:lineRule="auto"/>
              <w:ind w:left="171"/>
              <w:jc w:val="both"/>
              <w:rPr>
                <w:rFonts w:ascii="Arial Narrow" w:hAnsi="Arial Narrow"/>
              </w:rPr>
            </w:pPr>
            <w:r w:rsidRPr="005E0DBD">
              <w:rPr>
                <w:rFonts w:ascii="Arial Narrow" w:hAnsi="Arial Narrow"/>
              </w:rPr>
              <w:t>Natural Gas</w:t>
            </w:r>
          </w:p>
        </w:tc>
        <w:tc>
          <w:tcPr>
            <w:tcW w:w="758" w:type="pct"/>
          </w:tcPr>
          <w:p w14:paraId="218730F2" w14:textId="557129C8"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227,500</w:t>
            </w:r>
          </w:p>
        </w:tc>
        <w:tc>
          <w:tcPr>
            <w:tcW w:w="758" w:type="pct"/>
          </w:tcPr>
          <w:p w14:paraId="5A6D7F5E" w14:textId="715CBD69"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209,400</w:t>
            </w:r>
          </w:p>
        </w:tc>
        <w:tc>
          <w:tcPr>
            <w:tcW w:w="758" w:type="pct"/>
          </w:tcPr>
          <w:p w14:paraId="35BC0F9E" w14:textId="0DDB6A98"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165,000</w:t>
            </w:r>
          </w:p>
        </w:tc>
        <w:tc>
          <w:tcPr>
            <w:tcW w:w="758" w:type="pct"/>
          </w:tcPr>
          <w:p w14:paraId="0AAFEB68" w14:textId="35951007"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0</w:t>
            </w:r>
          </w:p>
        </w:tc>
        <w:tc>
          <w:tcPr>
            <w:tcW w:w="758" w:type="pct"/>
          </w:tcPr>
          <w:p w14:paraId="35130FD5" w14:textId="6D6C4AC9"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-100%</w:t>
            </w:r>
          </w:p>
        </w:tc>
      </w:tr>
      <w:tr w:rsidR="0072092A" w:rsidRPr="005E0DBD" w14:paraId="5DF8C8A2" w14:textId="37533B71" w:rsidTr="00394C10">
        <w:tc>
          <w:tcPr>
            <w:cnfStyle w:val="001000000000" w:firstRow="0" w:lastRow="0" w:firstColumn="1" w:lastColumn="0" w:oddVBand="0" w:evenVBand="0" w:oddHBand="0" w:evenHBand="0" w:firstRowFirstColumn="0" w:firstRowLastColumn="0" w:lastRowFirstColumn="0" w:lastRowLastColumn="0"/>
            <w:tcW w:w="1210" w:type="pct"/>
          </w:tcPr>
          <w:p w14:paraId="3FCC296B" w14:textId="77777777" w:rsidR="0072092A" w:rsidRPr="005E0DBD" w:rsidRDefault="0072092A" w:rsidP="0072092A">
            <w:pPr>
              <w:spacing w:line="276" w:lineRule="auto"/>
              <w:ind w:left="171"/>
              <w:jc w:val="both"/>
              <w:rPr>
                <w:rFonts w:ascii="Arial Narrow" w:hAnsi="Arial Narrow"/>
              </w:rPr>
            </w:pPr>
            <w:r w:rsidRPr="005E0DBD">
              <w:rPr>
                <w:rFonts w:ascii="Arial Narrow" w:hAnsi="Arial Narrow"/>
              </w:rPr>
              <w:t>Gasoline and Diesel</w:t>
            </w:r>
          </w:p>
        </w:tc>
        <w:tc>
          <w:tcPr>
            <w:tcW w:w="758" w:type="pct"/>
          </w:tcPr>
          <w:p w14:paraId="165DBEA6" w14:textId="3294A8F9"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615,000</w:t>
            </w:r>
          </w:p>
        </w:tc>
        <w:tc>
          <w:tcPr>
            <w:tcW w:w="758" w:type="pct"/>
          </w:tcPr>
          <w:p w14:paraId="25679270" w14:textId="0C23166D"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539,900</w:t>
            </w:r>
          </w:p>
        </w:tc>
        <w:tc>
          <w:tcPr>
            <w:tcW w:w="758" w:type="pct"/>
          </w:tcPr>
          <w:p w14:paraId="1169AC01" w14:textId="39200F64"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468,600</w:t>
            </w:r>
          </w:p>
        </w:tc>
        <w:tc>
          <w:tcPr>
            <w:tcW w:w="758" w:type="pct"/>
          </w:tcPr>
          <w:p w14:paraId="1DF8699F" w14:textId="1DFB4739"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404,600</w:t>
            </w:r>
          </w:p>
        </w:tc>
        <w:tc>
          <w:tcPr>
            <w:tcW w:w="758" w:type="pct"/>
          </w:tcPr>
          <w:p w14:paraId="0F1C2875" w14:textId="3D3F2F37" w:rsidR="0072092A" w:rsidRPr="00394C10" w:rsidRDefault="0072092A" w:rsidP="0072092A">
            <w:pPr>
              <w:spacing w:line="276" w:lineRule="auto"/>
              <w:jc w:val="right"/>
              <w:cnfStyle w:val="000000000000" w:firstRow="0" w:lastRow="0" w:firstColumn="0" w:lastColumn="0" w:oddVBand="0" w:evenVBand="0" w:oddHBand="0" w:evenHBand="0" w:firstRowFirstColumn="0" w:firstRowLastColumn="0" w:lastRowFirstColumn="0" w:lastRowLastColumn="0"/>
              <w:rPr>
                <w:rFonts w:ascii="Arial Narrow" w:hAnsi="Arial Narrow"/>
                <w:sz w:val="20"/>
              </w:rPr>
            </w:pPr>
            <w:r>
              <w:rPr>
                <w:rFonts w:ascii="Arial Narrow" w:hAnsi="Arial Narrow"/>
                <w:sz w:val="20"/>
              </w:rPr>
              <w:t>-34%</w:t>
            </w:r>
          </w:p>
        </w:tc>
      </w:tr>
      <w:tr w:rsidR="0072092A" w:rsidRPr="005E0DBD" w14:paraId="3476E4BE" w14:textId="4648D224"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0" w:type="pct"/>
          </w:tcPr>
          <w:p w14:paraId="2C35E0D2" w14:textId="77777777" w:rsidR="0072092A" w:rsidRPr="005E0DBD" w:rsidRDefault="0072092A" w:rsidP="0072092A">
            <w:pPr>
              <w:spacing w:line="276" w:lineRule="auto"/>
              <w:ind w:left="171"/>
              <w:jc w:val="both"/>
              <w:rPr>
                <w:rFonts w:ascii="Arial Narrow" w:hAnsi="Arial Narrow"/>
              </w:rPr>
            </w:pPr>
            <w:r>
              <w:rPr>
                <w:rFonts w:ascii="Arial Narrow" w:hAnsi="Arial Narrow"/>
              </w:rPr>
              <w:t>District Energy</w:t>
            </w:r>
          </w:p>
        </w:tc>
        <w:tc>
          <w:tcPr>
            <w:tcW w:w="758" w:type="pct"/>
          </w:tcPr>
          <w:p w14:paraId="29FE9655" w14:textId="4BE80BA8"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0</w:t>
            </w:r>
          </w:p>
        </w:tc>
        <w:tc>
          <w:tcPr>
            <w:tcW w:w="758" w:type="pct"/>
          </w:tcPr>
          <w:p w14:paraId="26D9FDA4" w14:textId="2013FD7B"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0</w:t>
            </w:r>
          </w:p>
        </w:tc>
        <w:tc>
          <w:tcPr>
            <w:tcW w:w="758" w:type="pct"/>
          </w:tcPr>
          <w:p w14:paraId="13E4505A" w14:textId="39F01C2B"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16,400</w:t>
            </w:r>
          </w:p>
        </w:tc>
        <w:tc>
          <w:tcPr>
            <w:tcW w:w="758" w:type="pct"/>
          </w:tcPr>
          <w:p w14:paraId="38EB4305" w14:textId="4B757836"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60,000</w:t>
            </w:r>
          </w:p>
        </w:tc>
        <w:tc>
          <w:tcPr>
            <w:tcW w:w="758" w:type="pct"/>
          </w:tcPr>
          <w:p w14:paraId="72B28D69" w14:textId="6DB3F1A6" w:rsidR="0072092A" w:rsidRPr="00394C10" w:rsidRDefault="0072092A" w:rsidP="0072092A">
            <w:pPr>
              <w:spacing w:line="276" w:lineRule="auto"/>
              <w:jc w:val="right"/>
              <w:cnfStyle w:val="000000100000" w:firstRow="0" w:lastRow="0" w:firstColumn="0" w:lastColumn="0" w:oddVBand="0" w:evenVBand="0" w:oddHBand="1" w:evenHBand="0" w:firstRowFirstColumn="0" w:firstRowLastColumn="0" w:lastRowFirstColumn="0" w:lastRowLastColumn="0"/>
              <w:rPr>
                <w:rFonts w:ascii="Arial Narrow" w:hAnsi="Arial Narrow"/>
                <w:sz w:val="20"/>
              </w:rPr>
            </w:pPr>
            <w:r>
              <w:rPr>
                <w:rFonts w:ascii="Arial Narrow" w:hAnsi="Arial Narrow"/>
                <w:sz w:val="20"/>
              </w:rPr>
              <w:t>n/a</w:t>
            </w:r>
          </w:p>
        </w:tc>
      </w:tr>
    </w:tbl>
    <w:p w14:paraId="1E4F8873" w14:textId="46EC6E3A" w:rsidR="0072092A" w:rsidRPr="00C22F21" w:rsidRDefault="0072092A" w:rsidP="0072092A">
      <w:pPr>
        <w:spacing w:line="276" w:lineRule="auto"/>
        <w:jc w:val="both"/>
        <w:rPr>
          <w:rFonts w:ascii="Arial Narrow" w:hAnsi="Arial Narrow"/>
          <w:sz w:val="18"/>
          <w:szCs w:val="24"/>
        </w:rPr>
      </w:pPr>
      <w:r w:rsidRPr="00C22F21">
        <w:rPr>
          <w:rFonts w:ascii="Arial Narrow" w:hAnsi="Arial Narrow"/>
          <w:sz w:val="18"/>
          <w:szCs w:val="24"/>
        </w:rPr>
        <w:t>*Numbers may not sum due to rounding.</w:t>
      </w:r>
      <w:r w:rsidRPr="00C22F21">
        <w:rPr>
          <w:rFonts w:ascii="Arial Narrow" w:hAnsi="Arial Narrow"/>
          <w:sz w:val="18"/>
          <w:szCs w:val="24"/>
        </w:rPr>
        <w:tab/>
      </w:r>
      <w:r w:rsidRPr="00C22F21">
        <w:rPr>
          <w:rFonts w:ascii="Arial Narrow" w:hAnsi="Arial Narrow"/>
          <w:sz w:val="18"/>
          <w:szCs w:val="24"/>
        </w:rPr>
        <w:br/>
        <w:t>**Part of the increase in electricity consumption is due to fuel switching away from natural gas to electricity in buildings. A one-to-one conversion rate is applied, meaning 1 kBtu of natural gas becomes 1 kBtu of electricity after the fuel switch. The one-to-one conversion rate does not account for the fact that electrical appliances and systems (e.g. for cooking, heating) are more efficient than those using natural gas. In actuality, 1 kBtu of natural gas would convert to somewhere between 0.5 and 0.25 kBtu of electricity, depending on the appliance or building system and climate zone, among other things. However, not enough data about energy use and fuel mix was available to calculate the proper conversion rate. Therefore, a one-to-one ratio is used and can be considered a conservative assumption that causes electricity use to be overestimated.</w:t>
      </w:r>
    </w:p>
    <w:p w14:paraId="76651CA0" w14:textId="20082787" w:rsidR="008A47E8" w:rsidRDefault="008A47E8">
      <w:bookmarkStart w:id="22" w:name="_Toc460348783"/>
      <w:r>
        <w:br w:type="page"/>
      </w:r>
    </w:p>
    <w:p w14:paraId="2D5C352E" w14:textId="77777777" w:rsidR="0068721D" w:rsidRPr="005E0DBD" w:rsidRDefault="0068721D" w:rsidP="00394C10">
      <w:pPr>
        <w:pStyle w:val="Heading3"/>
      </w:pPr>
      <w:r w:rsidRPr="005E0DBD">
        <w:t>Energy Supply</w:t>
      </w:r>
      <w:bookmarkEnd w:id="22"/>
    </w:p>
    <w:tbl>
      <w:tblPr>
        <w:tblStyle w:val="GridTable4-Accent11"/>
        <w:tblW w:w="0" w:type="auto"/>
        <w:tblLook w:val="04A0" w:firstRow="1" w:lastRow="0" w:firstColumn="1" w:lastColumn="0" w:noHBand="0" w:noVBand="1"/>
      </w:tblPr>
      <w:tblGrid>
        <w:gridCol w:w="9350"/>
      </w:tblGrid>
      <w:tr w:rsidR="00F37D37" w14:paraId="3DCBA881" w14:textId="77777777" w:rsidTr="009B53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15BAE40E" w14:textId="6DFD7F20" w:rsidR="00F37D37" w:rsidRDefault="00F03C77" w:rsidP="00306771">
            <w:pPr>
              <w:jc w:val="both"/>
              <w:rPr>
                <w:rFonts w:ascii="Arial Narrow" w:hAnsi="Arial Narrow"/>
                <w:sz w:val="24"/>
                <w:szCs w:val="24"/>
              </w:rPr>
            </w:pPr>
            <w:r w:rsidRPr="00F03C77">
              <w:rPr>
                <w:rFonts w:ascii="Arial Narrow" w:hAnsi="Arial Narrow"/>
                <w:sz w:val="24"/>
                <w:szCs w:val="24"/>
              </w:rPr>
              <w:t>Priority Focus to Achieve Decarbonization</w:t>
            </w:r>
          </w:p>
        </w:tc>
      </w:tr>
      <w:tr w:rsidR="00F37D37" w14:paraId="14E113E9" w14:textId="77777777" w:rsidTr="009B53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48A3EEDF" w14:textId="1365437F" w:rsidR="00F37D37" w:rsidRPr="00306771" w:rsidRDefault="00F37D37" w:rsidP="00394C10">
            <w:pPr>
              <w:pStyle w:val="ListParagraph"/>
              <w:numPr>
                <w:ilvl w:val="0"/>
                <w:numId w:val="23"/>
              </w:numPr>
              <w:ind w:left="454" w:hanging="425"/>
              <w:jc w:val="both"/>
              <w:rPr>
                <w:rFonts w:ascii="Arial Narrow" w:hAnsi="Arial Narrow"/>
                <w:sz w:val="24"/>
                <w:szCs w:val="24"/>
              </w:rPr>
            </w:pPr>
            <w:r w:rsidRPr="00306771">
              <w:rPr>
                <w:rFonts w:ascii="Arial Narrow" w:hAnsi="Arial Narrow"/>
                <w:sz w:val="24"/>
                <w:szCs w:val="24"/>
              </w:rPr>
              <w:t>Continue pushing</w:t>
            </w:r>
            <w:r w:rsidRPr="00394C10">
              <w:rPr>
                <w:rFonts w:ascii="Arial Narrow" w:hAnsi="Arial Narrow"/>
                <w:sz w:val="24"/>
                <w:szCs w:val="24"/>
              </w:rPr>
              <w:t xml:space="preserve"> Xcel </w:t>
            </w:r>
            <w:r>
              <w:rPr>
                <w:rFonts w:ascii="Arial Narrow" w:hAnsi="Arial Narrow"/>
                <w:sz w:val="24"/>
                <w:szCs w:val="24"/>
              </w:rPr>
              <w:t>to decarbonize the electricity supply</w:t>
            </w:r>
          </w:p>
          <w:p w14:paraId="74D7C658" w14:textId="27701DA1" w:rsidR="00F37D37" w:rsidRPr="00306771" w:rsidRDefault="00F37D37" w:rsidP="00394C10">
            <w:pPr>
              <w:pStyle w:val="ListParagraph"/>
              <w:numPr>
                <w:ilvl w:val="0"/>
                <w:numId w:val="23"/>
              </w:numPr>
              <w:ind w:left="454" w:hanging="425"/>
              <w:jc w:val="both"/>
              <w:rPr>
                <w:rFonts w:ascii="Arial Narrow" w:hAnsi="Arial Narrow"/>
                <w:sz w:val="24"/>
                <w:szCs w:val="24"/>
              </w:rPr>
            </w:pPr>
            <w:r w:rsidRPr="00394C10">
              <w:rPr>
                <w:rFonts w:ascii="Arial Narrow" w:hAnsi="Arial Narrow"/>
                <w:sz w:val="24"/>
                <w:szCs w:val="24"/>
              </w:rPr>
              <w:t xml:space="preserve">Decarbonize and extend </w:t>
            </w:r>
            <w:r>
              <w:rPr>
                <w:rFonts w:ascii="Arial Narrow" w:hAnsi="Arial Narrow"/>
                <w:sz w:val="24"/>
                <w:szCs w:val="24"/>
              </w:rPr>
              <w:t xml:space="preserve">nearby </w:t>
            </w:r>
            <w:r w:rsidRPr="00394C10">
              <w:rPr>
                <w:rFonts w:ascii="Arial Narrow" w:hAnsi="Arial Narrow"/>
                <w:sz w:val="24"/>
                <w:szCs w:val="24"/>
              </w:rPr>
              <w:t>district energy system to meet thermal loads that can’t be switched to electricity</w:t>
            </w:r>
          </w:p>
        </w:tc>
      </w:tr>
    </w:tbl>
    <w:p w14:paraId="1A432ED1" w14:textId="238969B1" w:rsidR="00647998" w:rsidRDefault="0068721D" w:rsidP="00394C10">
      <w:pPr>
        <w:spacing w:before="240"/>
        <w:jc w:val="both"/>
        <w:rPr>
          <w:rFonts w:ascii="Arial Narrow" w:eastAsia="MS Mincho" w:hAnsi="Arial Narrow"/>
          <w:sz w:val="24"/>
          <w:szCs w:val="24"/>
        </w:rPr>
      </w:pPr>
      <w:r>
        <w:rPr>
          <w:rFonts w:ascii="Arial Narrow" w:hAnsi="Arial Narrow"/>
          <w:sz w:val="24"/>
          <w:szCs w:val="24"/>
        </w:rPr>
        <w:t xml:space="preserve">To decarbonize the </w:t>
      </w:r>
      <w:r w:rsidR="00BD7C3B">
        <w:rPr>
          <w:rFonts w:ascii="Arial Narrow" w:hAnsi="Arial Narrow"/>
          <w:sz w:val="24"/>
          <w:szCs w:val="24"/>
        </w:rPr>
        <w:t xml:space="preserve">Lower North </w:t>
      </w:r>
      <w:r>
        <w:rPr>
          <w:rFonts w:ascii="Arial Narrow" w:hAnsi="Arial Narrow"/>
          <w:sz w:val="24"/>
          <w:szCs w:val="24"/>
        </w:rPr>
        <w:t xml:space="preserve">Loop neighborhood, </w:t>
      </w:r>
      <w:r w:rsidRPr="00E55C32">
        <w:rPr>
          <w:rFonts w:ascii="Arial Narrow" w:hAnsi="Arial Narrow"/>
          <w:sz w:val="24"/>
          <w:szCs w:val="24"/>
        </w:rPr>
        <w:t xml:space="preserve">the City of </w:t>
      </w:r>
      <w:r>
        <w:rPr>
          <w:rFonts w:ascii="Arial Narrow" w:hAnsi="Arial Narrow"/>
          <w:sz w:val="24"/>
          <w:szCs w:val="24"/>
        </w:rPr>
        <w:t xml:space="preserve">Minneapolis </w:t>
      </w:r>
      <w:r w:rsidR="008F79BF">
        <w:rPr>
          <w:rFonts w:ascii="Arial Narrow" w:hAnsi="Arial Narrow"/>
          <w:sz w:val="24"/>
          <w:szCs w:val="24"/>
        </w:rPr>
        <w:t xml:space="preserve">must </w:t>
      </w:r>
      <w:r>
        <w:rPr>
          <w:rFonts w:ascii="Arial Narrow" w:hAnsi="Arial Narrow"/>
          <w:sz w:val="24"/>
          <w:szCs w:val="24"/>
        </w:rPr>
        <w:t xml:space="preserve">eliminate GHG emissions from its grid-supplied electricity. The </w:t>
      </w:r>
      <w:r w:rsidR="00A3265F">
        <w:rPr>
          <w:rFonts w:ascii="Arial Narrow" w:hAnsi="Arial Narrow"/>
          <w:i/>
          <w:sz w:val="24"/>
          <w:szCs w:val="24"/>
        </w:rPr>
        <w:t xml:space="preserve">Transformation Scenario </w:t>
      </w:r>
      <w:r w:rsidR="00A3265F">
        <w:rPr>
          <w:rFonts w:ascii="Arial Narrow" w:hAnsi="Arial Narrow"/>
          <w:sz w:val="24"/>
          <w:szCs w:val="24"/>
        </w:rPr>
        <w:t xml:space="preserve">assumes </w:t>
      </w:r>
      <w:r w:rsidR="00C536F7">
        <w:rPr>
          <w:rFonts w:ascii="Arial Narrow" w:hAnsi="Arial Narrow"/>
          <w:sz w:val="24"/>
          <w:szCs w:val="24"/>
        </w:rPr>
        <w:t>Minneapolis’</w:t>
      </w:r>
      <w:r>
        <w:rPr>
          <w:rFonts w:ascii="Arial Narrow" w:hAnsi="Arial Narrow"/>
          <w:sz w:val="24"/>
          <w:szCs w:val="24"/>
        </w:rPr>
        <w:t xml:space="preserve"> electricity supply follows Xcel Energy’s </w:t>
      </w:r>
      <w:r w:rsidRPr="00B67C60">
        <w:rPr>
          <w:rFonts w:ascii="Arial Narrow" w:eastAsia="MS Mincho" w:hAnsi="Arial Narrow"/>
          <w:i/>
          <w:sz w:val="24"/>
          <w:szCs w:val="24"/>
        </w:rPr>
        <w:t>Current</w:t>
      </w:r>
      <w:r w:rsidRPr="00B67C60">
        <w:rPr>
          <w:rFonts w:ascii="Arial Narrow" w:eastAsia="MS Mincho" w:hAnsi="Arial Narrow"/>
          <w:sz w:val="24"/>
          <w:szCs w:val="24"/>
        </w:rPr>
        <w:t xml:space="preserve"> </w:t>
      </w:r>
      <w:r w:rsidRPr="00B67C60">
        <w:rPr>
          <w:rFonts w:ascii="Arial Narrow" w:eastAsia="MS Mincho" w:hAnsi="Arial Narrow"/>
          <w:i/>
          <w:sz w:val="24"/>
          <w:szCs w:val="24"/>
        </w:rPr>
        <w:t>Preferred Plan</w:t>
      </w:r>
      <w:r>
        <w:rPr>
          <w:rFonts w:ascii="Arial Narrow" w:eastAsia="MS Mincho" w:hAnsi="Arial Narrow"/>
          <w:i/>
          <w:sz w:val="24"/>
          <w:szCs w:val="24"/>
        </w:rPr>
        <w:t xml:space="preserve"> </w:t>
      </w:r>
      <w:r>
        <w:rPr>
          <w:rFonts w:ascii="Arial Narrow" w:eastAsia="MS Mincho" w:hAnsi="Arial Narrow"/>
          <w:sz w:val="24"/>
          <w:szCs w:val="24"/>
        </w:rPr>
        <w:t>until 2030, at which point electricity is steadily decarbonized until 2050.</w:t>
      </w:r>
      <w:r w:rsidR="00FA0F48">
        <w:rPr>
          <w:rFonts w:ascii="Arial Narrow" w:eastAsia="MS Mincho" w:hAnsi="Arial Narrow"/>
          <w:sz w:val="24"/>
          <w:szCs w:val="24"/>
        </w:rPr>
        <w:t xml:space="preserve"> </w:t>
      </w:r>
      <w:r w:rsidR="008F79BF">
        <w:rPr>
          <w:rFonts w:ascii="Arial Narrow" w:eastAsia="MS Mincho" w:hAnsi="Arial Narrow"/>
          <w:sz w:val="24"/>
          <w:szCs w:val="24"/>
        </w:rPr>
        <w:t xml:space="preserve">This could be supplemented by local renewable energy generation (e.g. solar panels), but these would </w:t>
      </w:r>
      <w:r w:rsidR="00647998">
        <w:rPr>
          <w:rFonts w:ascii="Arial Narrow" w:eastAsia="MS Mincho" w:hAnsi="Arial Narrow"/>
          <w:sz w:val="24"/>
          <w:szCs w:val="24"/>
        </w:rPr>
        <w:t xml:space="preserve">only </w:t>
      </w:r>
      <w:r w:rsidR="008F79BF">
        <w:rPr>
          <w:rFonts w:ascii="Arial Narrow" w:eastAsia="MS Mincho" w:hAnsi="Arial Narrow"/>
          <w:sz w:val="24"/>
          <w:szCs w:val="24"/>
        </w:rPr>
        <w:t xml:space="preserve">satisfy </w:t>
      </w:r>
      <w:r w:rsidR="00647998">
        <w:rPr>
          <w:rFonts w:ascii="Arial Narrow" w:eastAsia="MS Mincho" w:hAnsi="Arial Narrow"/>
          <w:sz w:val="24"/>
          <w:szCs w:val="24"/>
        </w:rPr>
        <w:t>a small fraction of total electricity demand</w:t>
      </w:r>
      <w:r w:rsidR="008F79BF">
        <w:rPr>
          <w:rFonts w:ascii="Arial Narrow" w:eastAsia="MS Mincho" w:hAnsi="Arial Narrow"/>
          <w:sz w:val="24"/>
          <w:szCs w:val="24"/>
        </w:rPr>
        <w:t xml:space="preserve"> due to neighborhood’s density.</w:t>
      </w:r>
    </w:p>
    <w:p w14:paraId="6526D29F" w14:textId="77777777" w:rsidR="008F79BF" w:rsidRDefault="008F79BF" w:rsidP="008F79BF">
      <w:pPr>
        <w:jc w:val="both"/>
        <w:rPr>
          <w:rFonts w:ascii="Arial Narrow" w:hAnsi="Arial Narrow"/>
          <w:sz w:val="24"/>
          <w:szCs w:val="24"/>
        </w:rPr>
      </w:pPr>
      <w:r w:rsidRPr="00B67C60">
        <w:rPr>
          <w:rFonts w:ascii="Arial Narrow" w:hAnsi="Arial Narrow"/>
          <w:sz w:val="24"/>
          <w:szCs w:val="24"/>
        </w:rPr>
        <w:t xml:space="preserve">The Minneapolis Clean Energy Partnership between the </w:t>
      </w:r>
      <w:r>
        <w:rPr>
          <w:rFonts w:ascii="Arial Narrow" w:hAnsi="Arial Narrow"/>
          <w:sz w:val="24"/>
          <w:szCs w:val="24"/>
        </w:rPr>
        <w:t>C</w:t>
      </w:r>
      <w:r w:rsidRPr="00B67C60">
        <w:rPr>
          <w:rFonts w:ascii="Arial Narrow" w:hAnsi="Arial Narrow"/>
          <w:sz w:val="24"/>
          <w:szCs w:val="24"/>
        </w:rPr>
        <w:t xml:space="preserve">ity, Xcel Energy and CenterPoint Energy represents the city’s primary effort to date in shifting the electrical grid towards a low-carbon state. </w:t>
      </w:r>
      <w:r>
        <w:rPr>
          <w:rFonts w:ascii="Arial Narrow" w:hAnsi="Arial Narrow"/>
          <w:sz w:val="24"/>
          <w:szCs w:val="24"/>
        </w:rPr>
        <w:t xml:space="preserve">These efforts are critical to decarbonizing this and other neighborhoods in Minneapolis, and the City must continue to dedicate resources to decarbonizing the electricity grid to decarbonize Lower North Loop, as well as the rest of the city. </w:t>
      </w:r>
    </w:p>
    <w:p w14:paraId="77CAFBB5" w14:textId="6426EBFA" w:rsidR="00647998" w:rsidRDefault="00D47CE7" w:rsidP="0068721D">
      <w:pPr>
        <w:jc w:val="both"/>
        <w:rPr>
          <w:rFonts w:ascii="Arial Narrow" w:hAnsi="Arial Narrow"/>
          <w:sz w:val="24"/>
          <w:szCs w:val="24"/>
        </w:rPr>
      </w:pPr>
      <w:r>
        <w:rPr>
          <w:rFonts w:ascii="Arial Narrow" w:hAnsi="Arial Narrow"/>
          <w:sz w:val="24"/>
          <w:szCs w:val="24"/>
        </w:rPr>
        <w:t xml:space="preserve">In terms of thermal energy, buildings in the neighborhood (and city) rely primarily on natural gas, which must be eliminated to decarbonize the neighborhood’s energy system. </w:t>
      </w:r>
      <w:r w:rsidR="00647998">
        <w:rPr>
          <w:rFonts w:ascii="Arial Narrow" w:hAnsi="Arial Narrow"/>
          <w:sz w:val="24"/>
          <w:szCs w:val="24"/>
        </w:rPr>
        <w:t xml:space="preserve">The higher density development of the neighborhood and high growth projections make </w:t>
      </w:r>
      <w:r w:rsidR="008F79BF">
        <w:rPr>
          <w:rFonts w:ascii="Arial Narrow" w:hAnsi="Arial Narrow"/>
          <w:sz w:val="24"/>
          <w:szCs w:val="24"/>
        </w:rPr>
        <w:t xml:space="preserve">the neighborhood </w:t>
      </w:r>
      <w:r w:rsidR="00647998">
        <w:rPr>
          <w:rFonts w:ascii="Arial Narrow" w:hAnsi="Arial Narrow"/>
          <w:sz w:val="24"/>
          <w:szCs w:val="24"/>
        </w:rPr>
        <w:t xml:space="preserve">a potential candidate for a local district energy system. This could </w:t>
      </w:r>
      <w:r w:rsidR="00FA0F48">
        <w:rPr>
          <w:rFonts w:ascii="Arial Narrow" w:hAnsi="Arial Narrow"/>
          <w:sz w:val="24"/>
          <w:szCs w:val="24"/>
        </w:rPr>
        <w:t>take the form of</w:t>
      </w:r>
      <w:r w:rsidR="00647998">
        <w:rPr>
          <w:rFonts w:ascii="Arial Narrow" w:hAnsi="Arial Narrow"/>
          <w:sz w:val="24"/>
          <w:szCs w:val="24"/>
        </w:rPr>
        <w:t xml:space="preserve"> a new zero emission system</w:t>
      </w:r>
      <w:r w:rsidR="008E3425">
        <w:rPr>
          <w:rFonts w:ascii="Arial Narrow" w:hAnsi="Arial Narrow"/>
          <w:sz w:val="24"/>
          <w:szCs w:val="24"/>
        </w:rPr>
        <w:t xml:space="preserve"> (e.g. </w:t>
      </w:r>
      <w:r w:rsidR="00647998">
        <w:rPr>
          <w:rFonts w:ascii="Arial Narrow" w:hAnsi="Arial Narrow"/>
          <w:sz w:val="24"/>
          <w:szCs w:val="24"/>
        </w:rPr>
        <w:t>waste-to-energy</w:t>
      </w:r>
      <w:r w:rsidR="008E3425">
        <w:rPr>
          <w:rFonts w:ascii="Arial Narrow" w:hAnsi="Arial Narrow"/>
          <w:sz w:val="24"/>
          <w:szCs w:val="24"/>
        </w:rPr>
        <w:t>)</w:t>
      </w:r>
      <w:r w:rsidR="00647998">
        <w:rPr>
          <w:rFonts w:ascii="Arial Narrow" w:hAnsi="Arial Narrow"/>
          <w:sz w:val="24"/>
          <w:szCs w:val="24"/>
        </w:rPr>
        <w:t xml:space="preserve"> or </w:t>
      </w:r>
      <w:r w:rsidR="008E3425">
        <w:rPr>
          <w:rFonts w:ascii="Arial Narrow" w:hAnsi="Arial Narrow"/>
          <w:sz w:val="24"/>
          <w:szCs w:val="24"/>
        </w:rPr>
        <w:t xml:space="preserve">an </w:t>
      </w:r>
      <w:r w:rsidR="00647998">
        <w:rPr>
          <w:rFonts w:ascii="Arial Narrow" w:hAnsi="Arial Narrow"/>
          <w:sz w:val="24"/>
          <w:szCs w:val="24"/>
        </w:rPr>
        <w:t xml:space="preserve">extension of the existing district energy system </w:t>
      </w:r>
      <w:r w:rsidR="00893539">
        <w:rPr>
          <w:rFonts w:ascii="Arial Narrow" w:hAnsi="Arial Narrow"/>
          <w:sz w:val="24"/>
          <w:szCs w:val="24"/>
        </w:rPr>
        <w:t>serving the downtown core</w:t>
      </w:r>
      <w:r w:rsidR="00647998">
        <w:rPr>
          <w:rFonts w:ascii="Arial Narrow" w:hAnsi="Arial Narrow"/>
          <w:sz w:val="24"/>
          <w:szCs w:val="24"/>
        </w:rPr>
        <w:t xml:space="preserve">. </w:t>
      </w:r>
      <w:r w:rsidR="008E3425">
        <w:rPr>
          <w:rFonts w:ascii="Arial Narrow" w:hAnsi="Arial Narrow"/>
          <w:sz w:val="24"/>
          <w:szCs w:val="24"/>
        </w:rPr>
        <w:t>If taking the latter approach</w:t>
      </w:r>
      <w:r w:rsidR="00647998">
        <w:rPr>
          <w:rFonts w:ascii="Arial Narrow" w:hAnsi="Arial Narrow"/>
          <w:sz w:val="24"/>
          <w:szCs w:val="24"/>
        </w:rPr>
        <w:t xml:space="preserve">, the </w:t>
      </w:r>
      <w:r w:rsidR="00FA0F48">
        <w:rPr>
          <w:rFonts w:ascii="Arial Narrow" w:hAnsi="Arial Narrow"/>
          <w:sz w:val="24"/>
          <w:szCs w:val="24"/>
        </w:rPr>
        <w:t xml:space="preserve">existing </w:t>
      </w:r>
      <w:r w:rsidR="00647998">
        <w:rPr>
          <w:rFonts w:ascii="Arial Narrow" w:hAnsi="Arial Narrow"/>
          <w:sz w:val="24"/>
          <w:szCs w:val="24"/>
        </w:rPr>
        <w:t xml:space="preserve">district energy system would need to </w:t>
      </w:r>
      <w:r w:rsidR="008E3425">
        <w:rPr>
          <w:rFonts w:ascii="Arial Narrow" w:hAnsi="Arial Narrow"/>
          <w:sz w:val="24"/>
          <w:szCs w:val="24"/>
        </w:rPr>
        <w:t xml:space="preserve">be </w:t>
      </w:r>
      <w:r w:rsidR="00647998">
        <w:rPr>
          <w:rFonts w:ascii="Arial Narrow" w:hAnsi="Arial Narrow"/>
          <w:sz w:val="24"/>
          <w:szCs w:val="24"/>
        </w:rPr>
        <w:t>shift</w:t>
      </w:r>
      <w:r w:rsidR="008E3425">
        <w:rPr>
          <w:rFonts w:ascii="Arial Narrow" w:hAnsi="Arial Narrow"/>
          <w:sz w:val="24"/>
          <w:szCs w:val="24"/>
        </w:rPr>
        <w:t>ed</w:t>
      </w:r>
      <w:r w:rsidR="00647998">
        <w:rPr>
          <w:rFonts w:ascii="Arial Narrow" w:hAnsi="Arial Narrow"/>
          <w:sz w:val="24"/>
          <w:szCs w:val="24"/>
        </w:rPr>
        <w:t xml:space="preserve"> to a zero emission energy source </w:t>
      </w:r>
      <w:r w:rsidR="008E3425">
        <w:rPr>
          <w:rFonts w:ascii="Arial Narrow" w:hAnsi="Arial Narrow"/>
          <w:sz w:val="24"/>
          <w:szCs w:val="24"/>
        </w:rPr>
        <w:t xml:space="preserve">for Lower North Loop </w:t>
      </w:r>
      <w:r w:rsidR="00647998">
        <w:rPr>
          <w:rFonts w:ascii="Arial Narrow" w:hAnsi="Arial Narrow"/>
          <w:sz w:val="24"/>
          <w:szCs w:val="24"/>
        </w:rPr>
        <w:t xml:space="preserve">to be decarbonized. The </w:t>
      </w:r>
      <w:r w:rsidR="00A3265F">
        <w:rPr>
          <w:rFonts w:ascii="Arial Narrow" w:hAnsi="Arial Narrow"/>
          <w:i/>
          <w:sz w:val="24"/>
          <w:szCs w:val="24"/>
        </w:rPr>
        <w:t xml:space="preserve">Transformation Scenario </w:t>
      </w:r>
      <w:r w:rsidR="00647998">
        <w:rPr>
          <w:rFonts w:ascii="Arial Narrow" w:hAnsi="Arial Narrow"/>
          <w:sz w:val="24"/>
          <w:szCs w:val="24"/>
        </w:rPr>
        <w:t>assumes</w:t>
      </w:r>
      <w:r w:rsidR="00FA0F48">
        <w:rPr>
          <w:rFonts w:ascii="Arial Narrow" w:hAnsi="Arial Narrow"/>
          <w:sz w:val="24"/>
          <w:szCs w:val="24"/>
        </w:rPr>
        <w:t xml:space="preserve"> that</w:t>
      </w:r>
      <w:r w:rsidR="00647998">
        <w:rPr>
          <w:rFonts w:ascii="Arial Narrow" w:hAnsi="Arial Narrow"/>
          <w:sz w:val="24"/>
          <w:szCs w:val="24"/>
        </w:rPr>
        <w:t xml:space="preserve"> </w:t>
      </w:r>
      <w:r w:rsidR="00FC596C">
        <w:rPr>
          <w:rFonts w:ascii="Arial Narrow" w:hAnsi="Arial Narrow"/>
          <w:sz w:val="24"/>
          <w:szCs w:val="24"/>
        </w:rPr>
        <w:t>2.0</w:t>
      </w:r>
      <w:r w:rsidR="00647998">
        <w:rPr>
          <w:rFonts w:ascii="Arial Narrow" w:hAnsi="Arial Narrow"/>
          <w:sz w:val="24"/>
          <w:szCs w:val="24"/>
        </w:rPr>
        <w:t xml:space="preserve"> MW of zero emission district energy can be brought online between 2025 and 2045 to meet part of </w:t>
      </w:r>
      <w:r w:rsidR="008E3425">
        <w:rPr>
          <w:rFonts w:ascii="Arial Narrow" w:hAnsi="Arial Narrow"/>
          <w:sz w:val="24"/>
          <w:szCs w:val="24"/>
        </w:rPr>
        <w:t>the neighborhood</w:t>
      </w:r>
      <w:r w:rsidR="00647998">
        <w:rPr>
          <w:rFonts w:ascii="Arial Narrow" w:hAnsi="Arial Narrow"/>
          <w:sz w:val="24"/>
          <w:szCs w:val="24"/>
        </w:rPr>
        <w:t>’s</w:t>
      </w:r>
      <w:r w:rsidR="008E3425">
        <w:rPr>
          <w:rFonts w:ascii="Arial Narrow" w:hAnsi="Arial Narrow"/>
          <w:sz w:val="24"/>
          <w:szCs w:val="24"/>
        </w:rPr>
        <w:t xml:space="preserve"> </w:t>
      </w:r>
      <w:r w:rsidR="00FA0F48">
        <w:rPr>
          <w:rFonts w:ascii="Arial Narrow" w:hAnsi="Arial Narrow"/>
          <w:sz w:val="24"/>
          <w:szCs w:val="24"/>
        </w:rPr>
        <w:t xml:space="preserve">building </w:t>
      </w:r>
      <w:r w:rsidR="00647998">
        <w:rPr>
          <w:rFonts w:ascii="Arial Narrow" w:hAnsi="Arial Narrow"/>
          <w:sz w:val="24"/>
          <w:szCs w:val="24"/>
        </w:rPr>
        <w:t>thermal energy demand.</w:t>
      </w:r>
      <w:r w:rsidR="007D4DEF">
        <w:rPr>
          <w:rStyle w:val="FootnoteReference"/>
          <w:rFonts w:ascii="Arial Narrow" w:hAnsi="Arial Narrow"/>
          <w:sz w:val="24"/>
          <w:szCs w:val="24"/>
        </w:rPr>
        <w:footnoteReference w:id="4"/>
      </w:r>
      <w:r w:rsidR="00647998">
        <w:rPr>
          <w:rFonts w:ascii="Arial Narrow" w:hAnsi="Arial Narrow"/>
          <w:sz w:val="24"/>
          <w:szCs w:val="24"/>
        </w:rPr>
        <w:t xml:space="preserve"> Such a system may be necessary to replace </w:t>
      </w:r>
      <w:r w:rsidR="00FA0F48">
        <w:rPr>
          <w:rFonts w:ascii="Arial Narrow" w:hAnsi="Arial Narrow"/>
          <w:sz w:val="24"/>
          <w:szCs w:val="24"/>
        </w:rPr>
        <w:t xml:space="preserve">any remaining </w:t>
      </w:r>
      <w:r w:rsidR="00647998">
        <w:rPr>
          <w:rFonts w:ascii="Arial Narrow" w:hAnsi="Arial Narrow"/>
          <w:sz w:val="24"/>
          <w:szCs w:val="24"/>
        </w:rPr>
        <w:t xml:space="preserve">natural gas that cannot be switched to electricity, including </w:t>
      </w:r>
      <w:r w:rsidR="00FA0F48">
        <w:rPr>
          <w:rFonts w:ascii="Arial Narrow" w:hAnsi="Arial Narrow"/>
          <w:sz w:val="24"/>
          <w:szCs w:val="24"/>
        </w:rPr>
        <w:t xml:space="preserve">currently </w:t>
      </w:r>
      <w:r w:rsidR="00647998">
        <w:rPr>
          <w:rFonts w:ascii="Arial Narrow" w:hAnsi="Arial Narrow"/>
          <w:sz w:val="24"/>
          <w:szCs w:val="24"/>
        </w:rPr>
        <w:t>unknown energy needs in the neighborhood’s industrial buildings.</w:t>
      </w:r>
      <w:r w:rsidR="00FC596C">
        <w:rPr>
          <w:rFonts w:ascii="Arial Narrow" w:hAnsi="Arial Narrow"/>
          <w:sz w:val="24"/>
          <w:szCs w:val="24"/>
        </w:rPr>
        <w:t xml:space="preserve"> The actual amount of zero emission district energy needed to service the neighborhood will depend on factors like how much thermal energy cannot be replaced by electricity and the City’s preference for increasing local district energy capacity versus fuel switching from fossil fuels to electricity, among other things. </w:t>
      </w:r>
      <w:r w:rsidR="008E3425">
        <w:rPr>
          <w:rFonts w:ascii="Arial Narrow" w:hAnsi="Arial Narrow"/>
          <w:sz w:val="24"/>
          <w:szCs w:val="24"/>
        </w:rPr>
        <w:t>As such, the City should investigate building thermal decarbonization options and limits to electrification (including industrial energy needs), and explore whether decarbonizing and extending the existing district energy system is necessary and feasible.</w:t>
      </w:r>
    </w:p>
    <w:p w14:paraId="7A95EFEE" w14:textId="5F32040C" w:rsidR="00893539" w:rsidRDefault="008E3425" w:rsidP="0068721D">
      <w:pPr>
        <w:jc w:val="both"/>
        <w:rPr>
          <w:rFonts w:ascii="Arial Narrow" w:hAnsi="Arial Narrow"/>
          <w:sz w:val="24"/>
          <w:szCs w:val="24"/>
        </w:rPr>
      </w:pPr>
      <w:r>
        <w:rPr>
          <w:rFonts w:ascii="Arial Narrow" w:hAnsi="Arial Narrow"/>
          <w:sz w:val="24"/>
          <w:szCs w:val="24"/>
        </w:rPr>
        <w:t>Finally, a</w:t>
      </w:r>
      <w:r w:rsidR="008F79BF">
        <w:rPr>
          <w:rFonts w:ascii="Arial Narrow" w:hAnsi="Arial Narrow"/>
          <w:sz w:val="24"/>
          <w:szCs w:val="24"/>
        </w:rPr>
        <w:t>s noted above, grid-supplied electricity can be supplemented with local generation (e.g. solar panels). This is not required for decarbonization, but can accelerate GHG emissions reductions in the neighborhood</w:t>
      </w:r>
      <w:r w:rsidR="00893539">
        <w:rPr>
          <w:rFonts w:ascii="Arial Narrow" w:hAnsi="Arial Narrow"/>
          <w:sz w:val="24"/>
          <w:szCs w:val="24"/>
        </w:rPr>
        <w:t xml:space="preserve"> and yield </w:t>
      </w:r>
      <w:r w:rsidR="00893539" w:rsidRPr="00893539">
        <w:rPr>
          <w:rFonts w:ascii="Arial Narrow" w:hAnsi="Arial Narrow"/>
          <w:sz w:val="24"/>
          <w:szCs w:val="24"/>
        </w:rPr>
        <w:t>other benefits that may be priorities for the City or other stakeholders (e.g. resilience, energy independence, local economic development). Installing local renewable energy generators (e.g. solar panels) may also increase support for the overall energy system transformation.</w:t>
      </w:r>
      <w:r>
        <w:rPr>
          <w:rFonts w:ascii="Arial Narrow" w:hAnsi="Arial Narrow"/>
          <w:sz w:val="24"/>
          <w:szCs w:val="24"/>
        </w:rPr>
        <w:t xml:space="preserve"> </w:t>
      </w:r>
      <w:r w:rsidRPr="008E3425">
        <w:rPr>
          <w:rFonts w:ascii="Arial Narrow" w:hAnsi="Arial Narrow"/>
          <w:sz w:val="24"/>
          <w:szCs w:val="24"/>
        </w:rPr>
        <w:t>Where opting to increase local distributed energy generation, the City will need to consider impacts on the electricity grid and undertake grid modernization actions to accommodate the distributed energy resources (these are not discussed in this Strategy).</w:t>
      </w:r>
    </w:p>
    <w:p w14:paraId="1C3D2024" w14:textId="3C336529" w:rsidR="007F6676" w:rsidRDefault="00FC596C" w:rsidP="0068721D">
      <w:pPr>
        <w:jc w:val="both"/>
        <w:rPr>
          <w:rFonts w:ascii="Arial Narrow" w:hAnsi="Arial Narrow"/>
          <w:sz w:val="24"/>
          <w:szCs w:val="24"/>
        </w:rPr>
      </w:pPr>
      <w:r>
        <w:rPr>
          <w:rFonts w:ascii="Arial Narrow" w:hAnsi="Arial Narrow"/>
          <w:sz w:val="24"/>
          <w:szCs w:val="24"/>
        </w:rPr>
        <w:t xml:space="preserve">To </w:t>
      </w:r>
      <w:r w:rsidR="008E3425">
        <w:rPr>
          <w:rFonts w:ascii="Arial Narrow" w:hAnsi="Arial Narrow"/>
          <w:sz w:val="24"/>
          <w:szCs w:val="24"/>
        </w:rPr>
        <w:t xml:space="preserve">achieve these priorities, </w:t>
      </w:r>
      <w:r>
        <w:rPr>
          <w:rFonts w:ascii="Arial Narrow" w:hAnsi="Arial Narrow"/>
          <w:sz w:val="24"/>
          <w:szCs w:val="24"/>
        </w:rPr>
        <w:t xml:space="preserve">the </w:t>
      </w:r>
      <w:r w:rsidR="008E3425">
        <w:rPr>
          <w:rFonts w:ascii="Arial Narrow" w:hAnsi="Arial Narrow"/>
          <w:sz w:val="24"/>
          <w:szCs w:val="24"/>
        </w:rPr>
        <w:t xml:space="preserve">City can apply and build on </w:t>
      </w:r>
      <w:r>
        <w:rPr>
          <w:rFonts w:ascii="Arial Narrow" w:hAnsi="Arial Narrow"/>
          <w:sz w:val="24"/>
          <w:szCs w:val="24"/>
        </w:rPr>
        <w:t xml:space="preserve">several strategies and actions </w:t>
      </w:r>
      <w:r w:rsidR="008E3425">
        <w:rPr>
          <w:rFonts w:ascii="Arial Narrow" w:hAnsi="Arial Narrow"/>
          <w:sz w:val="24"/>
          <w:szCs w:val="24"/>
        </w:rPr>
        <w:t>from the Playbook.</w:t>
      </w:r>
    </w:p>
    <w:p w14:paraId="3B90A2F1" w14:textId="1E494E90" w:rsidR="00FC596C" w:rsidRPr="00C536F7" w:rsidRDefault="00AC17EC" w:rsidP="00FC596C">
      <w:pPr>
        <w:rPr>
          <w:rFonts w:ascii="Arial Narrow" w:eastAsia="MS Mincho" w:hAnsi="Arial Narrow"/>
          <w:b/>
          <w:sz w:val="24"/>
          <w:szCs w:val="24"/>
        </w:rPr>
      </w:pPr>
      <w:r w:rsidRPr="00AC17EC">
        <w:rPr>
          <w:rFonts w:ascii="Arial Narrow" w:eastAsia="MS Mincho" w:hAnsi="Arial Narrow"/>
          <w:b/>
          <w:sz w:val="24"/>
          <w:szCs w:val="24"/>
        </w:rPr>
        <w:t>E.1. Enable consumers to purchase and/or produce renewable energy</w:t>
      </w:r>
    </w:p>
    <w:p w14:paraId="62612926" w14:textId="338AB23F" w:rsidR="00AC17EC" w:rsidRPr="00AC17EC" w:rsidRDefault="00AC17EC" w:rsidP="00AC17EC">
      <w:pPr>
        <w:ind w:left="284"/>
        <w:rPr>
          <w:rFonts w:ascii="Arial Narrow" w:eastAsia="MS Mincho" w:hAnsi="Arial Narrow"/>
          <w:sz w:val="24"/>
          <w:szCs w:val="24"/>
        </w:rPr>
      </w:pPr>
      <w:r w:rsidRPr="00AC17EC">
        <w:rPr>
          <w:rFonts w:ascii="Arial Narrow" w:eastAsia="MS Mincho" w:hAnsi="Arial Narrow"/>
          <w:sz w:val="24"/>
          <w:szCs w:val="24"/>
        </w:rPr>
        <w:t>E.1.2. Assist large enterprises in implementing clean energy purchasing through PPAs and other arrangements</w:t>
      </w:r>
    </w:p>
    <w:p w14:paraId="36C7C387" w14:textId="44748732" w:rsidR="00FC596C" w:rsidRPr="00C536F7" w:rsidRDefault="00AC17EC" w:rsidP="00AC17EC">
      <w:pPr>
        <w:ind w:left="284"/>
        <w:rPr>
          <w:rFonts w:ascii="Arial Narrow" w:eastAsia="MS Mincho" w:hAnsi="Arial Narrow"/>
          <w:sz w:val="24"/>
          <w:szCs w:val="24"/>
        </w:rPr>
      </w:pPr>
      <w:r w:rsidRPr="00AC17EC">
        <w:rPr>
          <w:rFonts w:ascii="Arial Narrow" w:eastAsia="MS Mincho" w:hAnsi="Arial Narrow"/>
          <w:sz w:val="24"/>
          <w:szCs w:val="24"/>
        </w:rPr>
        <w:t>E.1.3. Ease permitting/land use regulation for on-site renewables (e.g. rooftop solar)</w:t>
      </w:r>
    </w:p>
    <w:p w14:paraId="28A4F2ED" w14:textId="6AE4FB64" w:rsidR="00FC596C" w:rsidRPr="00B67C60" w:rsidRDefault="008A47E8" w:rsidP="00FC596C">
      <w:pPr>
        <w:rPr>
          <w:rFonts w:ascii="Arial Narrow" w:hAnsi="Arial Narrow"/>
          <w:b/>
          <w:sz w:val="24"/>
          <w:szCs w:val="24"/>
          <w:highlight w:val="yellow"/>
        </w:rPr>
      </w:pPr>
      <w:r w:rsidRPr="007F6676">
        <w:rPr>
          <w:rFonts w:ascii="Arial Narrow" w:hAnsi="Arial Narrow"/>
          <w:noProof/>
          <w:sz w:val="24"/>
          <w:szCs w:val="24"/>
          <w:lang w:eastAsia="en-CA"/>
        </w:rPr>
        <mc:AlternateContent>
          <mc:Choice Requires="wps">
            <w:drawing>
              <wp:anchor distT="45720" distB="45720" distL="114300" distR="114300" simplePos="0" relativeHeight="251668480" behindDoc="0" locked="0" layoutInCell="1" allowOverlap="1" wp14:anchorId="75359233" wp14:editId="210D70AC">
                <wp:simplePos x="0" y="0"/>
                <wp:positionH relativeFrom="margin">
                  <wp:posOffset>3356479</wp:posOffset>
                </wp:positionH>
                <wp:positionV relativeFrom="margin">
                  <wp:posOffset>2065283</wp:posOffset>
                </wp:positionV>
                <wp:extent cx="2697480" cy="26289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7480" cy="2628900"/>
                        </a:xfrm>
                        <a:prstGeom prst="rect">
                          <a:avLst/>
                        </a:prstGeom>
                        <a:noFill/>
                        <a:ln w="9525">
                          <a:noFill/>
                          <a:miter lim="800000"/>
                          <a:headEnd/>
                          <a:tailEnd/>
                        </a:ln>
                      </wps:spPr>
                      <wps:txbx>
                        <w:txbxContent>
                          <w:tbl>
                            <w:tblPr>
                              <w:tblStyle w:val="GridTable4-Accent51"/>
                              <w:tblW w:w="0" w:type="auto"/>
                              <w:tblLook w:val="04A0" w:firstRow="1" w:lastRow="0" w:firstColumn="1" w:lastColumn="0" w:noHBand="0" w:noVBand="1"/>
                            </w:tblPr>
                            <w:tblGrid>
                              <w:gridCol w:w="3936"/>
                            </w:tblGrid>
                            <w:tr w:rsidR="00D64CDD" w14:paraId="5284499E" w14:textId="77777777" w:rsidTr="007E22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5E8C96DB" w14:textId="3EE75114" w:rsidR="00D64CDD" w:rsidRDefault="00D64CDD" w:rsidP="00394C10">
                                  <w:pPr>
                                    <w:rPr>
                                      <w:rFonts w:ascii="Arial Narrow" w:hAnsi="Arial Narrow"/>
                                      <w:sz w:val="24"/>
                                      <w:szCs w:val="24"/>
                                    </w:rPr>
                                  </w:pPr>
                                  <w:r>
                                    <w:rPr>
                                      <w:rFonts w:ascii="Arial Narrow" w:hAnsi="Arial Narrow"/>
                                      <w:sz w:val="24"/>
                                      <w:szCs w:val="24"/>
                                    </w:rPr>
                                    <w:t>Example: District Energy in Fort Collins</w:t>
                                  </w:r>
                                </w:p>
                              </w:tc>
                            </w:tr>
                            <w:tr w:rsidR="00D64CDD" w14:paraId="4D8938F2" w14:textId="77777777" w:rsidTr="00F66C26">
                              <w:trPr>
                                <w:cnfStyle w:val="000000100000" w:firstRow="0" w:lastRow="0" w:firstColumn="0" w:lastColumn="0" w:oddVBand="0" w:evenVBand="0" w:oddHBand="1" w:evenHBand="0" w:firstRowFirstColumn="0" w:firstRowLastColumn="0" w:lastRowFirstColumn="0" w:lastRowLastColumn="0"/>
                                <w:trHeight w:val="3675"/>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3809081E" w14:textId="77777777" w:rsidR="00D64CDD" w:rsidRPr="00B93DF1" w:rsidRDefault="00D64CDD" w:rsidP="007F6676">
                                  <w:pPr>
                                    <w:rPr>
                                      <w:rFonts w:ascii="Arial Narrow" w:hAnsi="Arial Narrow"/>
                                      <w:b w:val="0"/>
                                      <w:sz w:val="24"/>
                                      <w:szCs w:val="24"/>
                                    </w:rPr>
                                  </w:pPr>
                                  <w:r w:rsidRPr="00B93DF1">
                                    <w:rPr>
                                      <w:rFonts w:ascii="Arial Narrow" w:hAnsi="Arial Narrow"/>
                                      <w:b w:val="0"/>
                                      <w:sz w:val="24"/>
                                      <w:szCs w:val="24"/>
                                    </w:rPr>
                                    <w:t>The FortZED initiative introduced Smart Grid infrastructure to the Old Town section of Fort Collins, Colorado – enabling the integration and coordination of a system of mixed and distributed sources – with the intention of creating a net-zero energy district. The approach combines energy efficiency strategies with the expansion of renewable energy sources, reinforcing not only the district’s technological energy infrastructure, but also the capacity of local business to install, maintain, and operate these systems.</w:t>
                                  </w:r>
                                </w:p>
                              </w:tc>
                            </w:tr>
                          </w:tbl>
                          <w:p w14:paraId="245A71C9" w14:textId="77777777" w:rsidR="00D64CDD" w:rsidRDefault="00D64CDD" w:rsidP="007F667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359233" id="_x0000_s1027" type="#_x0000_t202" style="position:absolute;margin-left:264.3pt;margin-top:162.6pt;width:212.4pt;height:207pt;z-index:251668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" filled="f" stroked="f">
                <v:textbox>
                  <w:txbxContent>
                    <w:tbl>
                      <w:tblPr>
                        <w:tblStyle w:val="GridTable4-Accent51"/>
                        <w:tblW w:w="0" w:type="auto"/>
                        <w:tblLook w:val="04A0" w:firstRow="1" w:lastRow="0" w:firstColumn="1" w:lastColumn="0" w:noHBand="0" w:noVBand="1"/>
                      </w:tblPr>
                      <w:tblGrid>
                        <w:gridCol w:w="3936"/>
                      </w:tblGrid>
                      <w:tr w:rsidR="00D64CDD" w14:paraId="5284499E" w14:textId="77777777" w:rsidTr="007E22B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5E8C96DB" w14:textId="3EE75114" w:rsidR="00D64CDD" w:rsidRDefault="00D64CDD" w:rsidP="00394C10">
                            <w:pPr>
                              <w:rPr>
                                <w:rFonts w:ascii="Arial Narrow" w:hAnsi="Arial Narrow"/>
                                <w:sz w:val="24"/>
                                <w:szCs w:val="24"/>
                              </w:rPr>
                            </w:pPr>
                            <w:r>
                              <w:rPr>
                                <w:rFonts w:ascii="Arial Narrow" w:hAnsi="Arial Narrow"/>
                                <w:sz w:val="24"/>
                                <w:szCs w:val="24"/>
                              </w:rPr>
                              <w:t>Example: District Energy in Fort Collins</w:t>
                            </w:r>
                          </w:p>
                        </w:tc>
                      </w:tr>
                      <w:tr w:rsidR="00D64CDD" w14:paraId="4D8938F2" w14:textId="77777777" w:rsidTr="00F66C26">
                        <w:trPr>
                          <w:cnfStyle w:val="000000100000" w:firstRow="0" w:lastRow="0" w:firstColumn="0" w:lastColumn="0" w:oddVBand="0" w:evenVBand="0" w:oddHBand="1" w:evenHBand="0" w:firstRowFirstColumn="0" w:firstRowLastColumn="0" w:lastRowFirstColumn="0" w:lastRowLastColumn="0"/>
                          <w:trHeight w:val="3675"/>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3809081E" w14:textId="77777777" w:rsidR="00D64CDD" w:rsidRPr="00B93DF1" w:rsidRDefault="00D64CDD" w:rsidP="007F6676">
                            <w:pPr>
                              <w:rPr>
                                <w:rFonts w:ascii="Arial Narrow" w:hAnsi="Arial Narrow"/>
                                <w:b w:val="0"/>
                                <w:sz w:val="24"/>
                                <w:szCs w:val="24"/>
                              </w:rPr>
                            </w:pPr>
                            <w:r w:rsidRPr="00B93DF1">
                              <w:rPr>
                                <w:rFonts w:ascii="Arial Narrow" w:hAnsi="Arial Narrow"/>
                                <w:b w:val="0"/>
                                <w:sz w:val="24"/>
                                <w:szCs w:val="24"/>
                              </w:rPr>
                              <w:t>The FortZED initiative introduced Smart Grid infrastructure to the Old Town section of Fort Collins, Colorado – enabling the integration and coordination of a system of mixed and distributed sources – with the intention of creating a net-zero energy district. The approach combines energy efficiency strategies with the expansion of renewable energy sources, reinforcing not only the district’s technological energy infrastructure, but also the capacity of local business to install, maintain, and operate these systems.</w:t>
                            </w:r>
                          </w:p>
                        </w:tc>
                      </w:tr>
                    </w:tbl>
                    <w:p w14:paraId="245A71C9" w14:textId="77777777" w:rsidR="00D64CDD" w:rsidRDefault="00D64CDD" w:rsidP="007F6676"/>
                  </w:txbxContent>
                </v:textbox>
                <w10:wrap type="square" anchorx="margin" anchory="margin"/>
              </v:shape>
            </w:pict>
          </mc:Fallback>
        </mc:AlternateContent>
      </w:r>
      <w:r w:rsidR="00FC596C" w:rsidRPr="00B67C60">
        <w:rPr>
          <w:rFonts w:ascii="Arial Narrow" w:hAnsi="Arial Narrow"/>
          <w:b/>
          <w:sz w:val="24"/>
          <w:szCs w:val="24"/>
        </w:rPr>
        <w:t>E.5 – Ease regulatory compliance</w:t>
      </w:r>
    </w:p>
    <w:p w14:paraId="5B08429E" w14:textId="663A096E" w:rsidR="00FC596C" w:rsidRPr="00B67C60" w:rsidRDefault="00AC17EC" w:rsidP="00FC596C">
      <w:pPr>
        <w:ind w:left="284"/>
        <w:rPr>
          <w:rFonts w:ascii="Arial Narrow" w:hAnsi="Arial Narrow"/>
          <w:sz w:val="24"/>
          <w:szCs w:val="24"/>
        </w:rPr>
      </w:pPr>
      <w:r w:rsidRPr="00AC17EC">
        <w:rPr>
          <w:rFonts w:ascii="Arial Narrow" w:hAnsi="Arial Narrow"/>
          <w:sz w:val="24"/>
          <w:szCs w:val="24"/>
        </w:rPr>
        <w:t>E.5.1. Reduce regulatory barriers to zero emission neighborhood-scale energy systems (e.g. microgrids, district energy, tri-generation)</w:t>
      </w:r>
    </w:p>
    <w:p w14:paraId="66F07D0A" w14:textId="5B7F9DE1" w:rsidR="00FC596C" w:rsidRPr="00B67C60" w:rsidRDefault="00AC17EC" w:rsidP="00FC596C">
      <w:pPr>
        <w:rPr>
          <w:rFonts w:ascii="Arial Narrow" w:hAnsi="Arial Narrow"/>
          <w:b/>
          <w:sz w:val="24"/>
          <w:szCs w:val="24"/>
        </w:rPr>
      </w:pPr>
      <w:r w:rsidRPr="00AC17EC">
        <w:rPr>
          <w:rFonts w:ascii="Arial Narrow" w:hAnsi="Arial Narrow"/>
          <w:b/>
          <w:sz w:val="24"/>
          <w:szCs w:val="24"/>
        </w:rPr>
        <w:t>E.7. Implement a renewable electricity proliferation strategy</w:t>
      </w:r>
    </w:p>
    <w:p w14:paraId="32F9DA13" w14:textId="76A308B1" w:rsidR="00FC596C" w:rsidRPr="00B67C60" w:rsidRDefault="00AC17EC" w:rsidP="00FC596C">
      <w:pPr>
        <w:ind w:left="284"/>
        <w:rPr>
          <w:rFonts w:ascii="Arial Narrow" w:hAnsi="Arial Narrow"/>
          <w:sz w:val="24"/>
          <w:szCs w:val="24"/>
        </w:rPr>
      </w:pPr>
      <w:r w:rsidRPr="00AC17EC">
        <w:rPr>
          <w:rFonts w:ascii="Arial Narrow" w:hAnsi="Arial Narrow"/>
          <w:noProof/>
          <w:sz w:val="24"/>
          <w:szCs w:val="24"/>
          <w:lang w:eastAsia="en-CA"/>
        </w:rPr>
        <w:t>E.7.1. Invest in a city-run program to increase renewable energy generation by strategically targeting buildings, neighborhoods, businesses, and homeowners based on generation opportunities (e.g. rooftop suitability, electricity distribution capacity)</w:t>
      </w:r>
    </w:p>
    <w:p w14:paraId="362FE4E4" w14:textId="37EC7619" w:rsidR="00FC596C" w:rsidRPr="00B67C60" w:rsidRDefault="00FC596C" w:rsidP="00FC596C">
      <w:pPr>
        <w:rPr>
          <w:rFonts w:ascii="Arial Narrow" w:hAnsi="Arial Narrow"/>
          <w:b/>
          <w:sz w:val="24"/>
          <w:szCs w:val="24"/>
        </w:rPr>
      </w:pPr>
      <w:r w:rsidRPr="00B67C60">
        <w:rPr>
          <w:rFonts w:ascii="Arial Narrow" w:hAnsi="Arial Narrow"/>
          <w:b/>
          <w:sz w:val="24"/>
          <w:szCs w:val="24"/>
        </w:rPr>
        <w:t>E.8 – Develop a District Energy Strategy</w:t>
      </w:r>
      <w:r w:rsidR="007F6676" w:rsidRPr="007F6676">
        <w:rPr>
          <w:rFonts w:ascii="Arial Narrow" w:hAnsi="Arial Narrow"/>
          <w:noProof/>
          <w:sz w:val="24"/>
          <w:szCs w:val="24"/>
          <w:lang w:eastAsia="en-CA"/>
        </w:rPr>
        <w:t xml:space="preserve"> </w:t>
      </w:r>
    </w:p>
    <w:p w14:paraId="666CDE6F" w14:textId="01F9DE7F" w:rsidR="00FC596C" w:rsidRDefault="00AC17EC" w:rsidP="00FC596C">
      <w:pPr>
        <w:ind w:left="284"/>
        <w:rPr>
          <w:rFonts w:ascii="Arial Narrow" w:hAnsi="Arial Narrow"/>
          <w:sz w:val="24"/>
          <w:szCs w:val="24"/>
        </w:rPr>
      </w:pPr>
      <w:r w:rsidRPr="00AC17EC">
        <w:rPr>
          <w:rFonts w:ascii="Arial Narrow" w:hAnsi="Arial Narrow"/>
          <w:sz w:val="24"/>
          <w:szCs w:val="24"/>
        </w:rPr>
        <w:t>E.8.1. Assess thermal energy demand and local low carbon supply opportunities and use the results to develop a neighborhood-scale energy strategy that can inform other city policies and regulations and support specific infrastructure projects (e.g. energy system installations)</w:t>
      </w:r>
    </w:p>
    <w:p w14:paraId="799E3FD5" w14:textId="77777777" w:rsidR="00FC596C" w:rsidRPr="00881B07" w:rsidRDefault="00FC596C" w:rsidP="00FC596C">
      <w:pPr>
        <w:rPr>
          <w:rFonts w:ascii="Arial Narrow" w:hAnsi="Arial Narrow"/>
          <w:sz w:val="24"/>
          <w:szCs w:val="24"/>
        </w:rPr>
      </w:pPr>
      <w:r w:rsidRPr="00B67C60">
        <w:rPr>
          <w:rFonts w:ascii="Arial Narrow" w:hAnsi="Arial Narrow"/>
          <w:b/>
          <w:sz w:val="24"/>
          <w:szCs w:val="24"/>
        </w:rPr>
        <w:t>E.9 – Invest in renewable supply</w:t>
      </w:r>
    </w:p>
    <w:p w14:paraId="35569C58" w14:textId="77777777" w:rsidR="00AC17EC" w:rsidRPr="00AC17EC" w:rsidRDefault="00AC17EC" w:rsidP="00AC17EC">
      <w:pPr>
        <w:ind w:left="284"/>
        <w:rPr>
          <w:rFonts w:ascii="Arial Narrow" w:hAnsi="Arial Narrow"/>
          <w:sz w:val="24"/>
          <w:szCs w:val="24"/>
        </w:rPr>
      </w:pPr>
      <w:r w:rsidRPr="00AC17EC">
        <w:rPr>
          <w:rFonts w:ascii="Arial Narrow" w:hAnsi="Arial Narrow"/>
          <w:sz w:val="24"/>
          <w:szCs w:val="24"/>
        </w:rPr>
        <w:t>E.9.1. Invest in neighborhood-scale energy generation (e.g. district energy, tri-generation districts), including through public-private partnerships</w:t>
      </w:r>
    </w:p>
    <w:p w14:paraId="71B0B758" w14:textId="554559A0" w:rsidR="007F6676" w:rsidRDefault="007F6676" w:rsidP="00394C10">
      <w:pPr>
        <w:jc w:val="both"/>
        <w:rPr>
          <w:rFonts w:ascii="Arial Narrow" w:hAnsi="Arial Narrow"/>
          <w:sz w:val="24"/>
          <w:szCs w:val="24"/>
        </w:rPr>
      </w:pPr>
      <w:r>
        <w:rPr>
          <w:rFonts w:ascii="Arial Narrow" w:hAnsi="Arial Narrow"/>
          <w:sz w:val="24"/>
          <w:szCs w:val="24"/>
        </w:rPr>
        <w:t>In addition to the actions above, renewable energy readiness and installation requirements could be placed on buildings if Minneapolis had control over its building code, or could influence Minnesota to add these requirements to the state building code.</w:t>
      </w:r>
    </w:p>
    <w:p w14:paraId="42B4E5CD" w14:textId="3424FCB3" w:rsidR="008E3425" w:rsidRDefault="00394C10" w:rsidP="008E3425">
      <w:pPr>
        <w:rPr>
          <w:rFonts w:ascii="Arial Narrow" w:hAnsi="Arial Narrow"/>
          <w:sz w:val="24"/>
          <w:szCs w:val="24"/>
        </w:rPr>
      </w:pPr>
      <w:r>
        <w:rPr>
          <w:rFonts w:ascii="Arial Narrow" w:hAnsi="Arial Narrow"/>
          <w:sz w:val="24"/>
          <w:szCs w:val="24"/>
        </w:rPr>
        <w:fldChar w:fldCharType="begin"/>
      </w:r>
      <w:r>
        <w:rPr>
          <w:rFonts w:ascii="Arial Narrow" w:hAnsi="Arial Narrow"/>
          <w:sz w:val="24"/>
          <w:szCs w:val="24"/>
        </w:rPr>
        <w:instrText xml:space="preserve"> REF _Ref459824664 \h </w:instrText>
      </w:r>
      <w:r>
        <w:rPr>
          <w:rFonts w:ascii="Arial Narrow" w:hAnsi="Arial Narrow"/>
          <w:sz w:val="24"/>
          <w:szCs w:val="24"/>
        </w:rPr>
      </w:r>
      <w:r>
        <w:rPr>
          <w:rFonts w:ascii="Arial Narrow" w:hAnsi="Arial Narrow"/>
          <w:sz w:val="24"/>
          <w:szCs w:val="24"/>
        </w:rPr>
        <w:fldChar w:fldCharType="separate"/>
      </w:r>
      <w:r w:rsidR="00394D4A" w:rsidRPr="00394C10">
        <w:rPr>
          <w:rFonts w:ascii="Arial Narrow" w:hAnsi="Arial Narrow"/>
          <w:sz w:val="24"/>
          <w:szCs w:val="24"/>
        </w:rPr>
        <w:t xml:space="preserve">Box </w:t>
      </w:r>
      <w:r w:rsidR="00394D4A">
        <w:rPr>
          <w:rFonts w:ascii="Arial Narrow" w:hAnsi="Arial Narrow"/>
          <w:noProof/>
          <w:sz w:val="24"/>
          <w:szCs w:val="24"/>
        </w:rPr>
        <w:t>1</w:t>
      </w:r>
      <w:r>
        <w:rPr>
          <w:rFonts w:ascii="Arial Narrow" w:hAnsi="Arial Narrow"/>
          <w:sz w:val="24"/>
          <w:szCs w:val="24"/>
        </w:rPr>
        <w:fldChar w:fldCharType="end"/>
      </w:r>
      <w:r>
        <w:rPr>
          <w:rFonts w:ascii="Arial Narrow" w:hAnsi="Arial Narrow"/>
          <w:sz w:val="24"/>
          <w:szCs w:val="24"/>
        </w:rPr>
        <w:t xml:space="preserve"> </w:t>
      </w:r>
      <w:r w:rsidR="008E3425">
        <w:rPr>
          <w:rFonts w:ascii="Arial Narrow" w:hAnsi="Arial Narrow"/>
          <w:sz w:val="24"/>
          <w:szCs w:val="24"/>
        </w:rPr>
        <w:t>lists other actions the City could consider to support its energy supply priorities. As noted above, the City will also need to modernize its grid if adding significant amounts of renewable energy generation (e.g. solar panels) to the neighborhood. The Playbook provides strategies and actions the City can consider to support grid modernization.</w:t>
      </w:r>
      <w:r w:rsidR="00A76E6F">
        <w:rPr>
          <w:rFonts w:ascii="Arial Narrow" w:hAnsi="Arial Narrow"/>
          <w:sz w:val="24"/>
          <w:szCs w:val="24"/>
        </w:rPr>
        <w:t xml:space="preserve"> </w:t>
      </w:r>
      <w:r w:rsidR="00A76E6F" w:rsidRPr="00A76E6F">
        <w:rPr>
          <w:rFonts w:ascii="Arial Narrow" w:hAnsi="Arial Narrow"/>
          <w:sz w:val="24"/>
          <w:szCs w:val="24"/>
        </w:rPr>
        <w:t>Action numbers (e.g. E.2.1) correspond to the strategies and actions table found in the Appendix of the Playbook.</w:t>
      </w:r>
    </w:p>
    <w:p w14:paraId="220A5E3E" w14:textId="77777777" w:rsidR="008A47E8" w:rsidRDefault="008A47E8" w:rsidP="008E3425">
      <w:pPr>
        <w:rPr>
          <w:rFonts w:ascii="Arial Narrow" w:hAnsi="Arial Narrow"/>
          <w:sz w:val="24"/>
          <w:szCs w:val="24"/>
        </w:rPr>
      </w:pPr>
    </w:p>
    <w:tbl>
      <w:tblPr>
        <w:tblStyle w:val="GridTable4-Accent51"/>
        <w:tblW w:w="0" w:type="auto"/>
        <w:tblLook w:val="04A0" w:firstRow="1" w:lastRow="0" w:firstColumn="1" w:lastColumn="0" w:noHBand="0" w:noVBand="1"/>
      </w:tblPr>
      <w:tblGrid>
        <w:gridCol w:w="9350"/>
      </w:tblGrid>
      <w:tr w:rsidR="007F6676" w14:paraId="2E55856F" w14:textId="77777777" w:rsidTr="00394C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0E27F7AE" w14:textId="1F8839AF" w:rsidR="007F6676" w:rsidRDefault="007F6676">
            <w:pPr>
              <w:rPr>
                <w:rFonts w:ascii="Arial Narrow" w:hAnsi="Arial Narrow"/>
                <w:sz w:val="24"/>
                <w:szCs w:val="24"/>
              </w:rPr>
            </w:pPr>
            <w:bookmarkStart w:id="23" w:name="_Ref459824664"/>
            <w:r w:rsidRPr="00394C10">
              <w:rPr>
                <w:rFonts w:ascii="Arial Narrow" w:hAnsi="Arial Narrow"/>
                <w:sz w:val="24"/>
                <w:szCs w:val="24"/>
              </w:rPr>
              <w:t xml:space="preserve">Box </w:t>
            </w:r>
            <w:r w:rsidRPr="00394C10">
              <w:rPr>
                <w:rFonts w:ascii="Arial Narrow" w:hAnsi="Arial Narrow"/>
                <w:sz w:val="24"/>
                <w:szCs w:val="24"/>
              </w:rPr>
              <w:fldChar w:fldCharType="begin"/>
            </w:r>
            <w:r w:rsidRPr="00394C10">
              <w:rPr>
                <w:rFonts w:ascii="Arial Narrow" w:hAnsi="Arial Narrow"/>
                <w:sz w:val="24"/>
                <w:szCs w:val="24"/>
              </w:rPr>
              <w:instrText xml:space="preserve"> SEQ Box \* ARABIC </w:instrText>
            </w:r>
            <w:r w:rsidRPr="00394C10">
              <w:rPr>
                <w:rFonts w:ascii="Arial Narrow" w:hAnsi="Arial Narrow"/>
                <w:sz w:val="24"/>
                <w:szCs w:val="24"/>
              </w:rPr>
              <w:fldChar w:fldCharType="separate"/>
            </w:r>
            <w:r w:rsidR="00394D4A">
              <w:rPr>
                <w:rFonts w:ascii="Arial Narrow" w:hAnsi="Arial Narrow"/>
                <w:noProof/>
                <w:sz w:val="24"/>
                <w:szCs w:val="24"/>
              </w:rPr>
              <w:t>1</w:t>
            </w:r>
            <w:r w:rsidRPr="00394C10">
              <w:rPr>
                <w:rFonts w:ascii="Arial Narrow" w:hAnsi="Arial Narrow"/>
                <w:sz w:val="24"/>
                <w:szCs w:val="24"/>
              </w:rPr>
              <w:fldChar w:fldCharType="end"/>
            </w:r>
            <w:bookmarkEnd w:id="23"/>
            <w:r w:rsidRPr="00394C10">
              <w:rPr>
                <w:rFonts w:ascii="Arial Narrow" w:hAnsi="Arial Narrow"/>
                <w:sz w:val="24"/>
                <w:szCs w:val="24"/>
              </w:rPr>
              <w:t xml:space="preserve"> </w:t>
            </w:r>
            <w:r>
              <w:rPr>
                <w:rFonts w:ascii="Arial Narrow" w:hAnsi="Arial Narrow"/>
                <w:sz w:val="24"/>
                <w:szCs w:val="24"/>
              </w:rPr>
              <w:t>Other Relevant Energy Supply Actions from the Playbook</w:t>
            </w:r>
          </w:p>
        </w:tc>
      </w:tr>
      <w:tr w:rsidR="007F6676" w14:paraId="13C6FE99" w14:textId="77777777"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1A042E24" w14:textId="77777777" w:rsidR="008751AD" w:rsidRDefault="008751AD" w:rsidP="008751AD">
            <w:pPr>
              <w:ind w:left="29"/>
              <w:rPr>
                <w:rFonts w:ascii="Arial Narrow" w:hAnsi="Arial Narrow"/>
                <w:b w:val="0"/>
                <w:sz w:val="24"/>
                <w:szCs w:val="24"/>
              </w:rPr>
            </w:pPr>
            <w:r w:rsidRPr="002206D2">
              <w:rPr>
                <w:rFonts w:ascii="Arial Narrow" w:hAnsi="Arial Narrow"/>
                <w:b w:val="0"/>
                <w:sz w:val="24"/>
                <w:szCs w:val="24"/>
              </w:rPr>
              <w:t xml:space="preserve">E.2.1. Implement a media, outreach, and communications strategy focused on increasing public awareness of efforts and specific programs and increasing adoption of programs </w:t>
            </w:r>
          </w:p>
          <w:p w14:paraId="6B22FE39" w14:textId="6E132261" w:rsidR="007F6676" w:rsidRPr="00394C10" w:rsidRDefault="008751AD" w:rsidP="007F6676">
            <w:pPr>
              <w:ind w:left="29"/>
              <w:rPr>
                <w:rFonts w:ascii="Arial Narrow" w:hAnsi="Arial Narrow"/>
                <w:b w:val="0"/>
                <w:sz w:val="24"/>
                <w:szCs w:val="24"/>
              </w:rPr>
            </w:pPr>
            <w:r w:rsidRPr="008751AD">
              <w:rPr>
                <w:rFonts w:ascii="Arial Narrow" w:hAnsi="Arial Narrow"/>
                <w:b w:val="0"/>
                <w:sz w:val="24"/>
                <w:szCs w:val="24"/>
              </w:rPr>
              <w:t>E.3.1. Coordinate and manage discount purchase opportunities (e.g. bulk buy programs) to increase consumer access to strategically important technologies (e.g. solar panels, air source heat pumps)</w:t>
            </w:r>
          </w:p>
          <w:p w14:paraId="07D3C46E" w14:textId="77777777" w:rsidR="008751AD" w:rsidRPr="00C22F21" w:rsidRDefault="008751AD" w:rsidP="008751AD">
            <w:pPr>
              <w:ind w:left="29"/>
              <w:rPr>
                <w:rFonts w:ascii="Arial Narrow" w:hAnsi="Arial Narrow"/>
                <w:b w:val="0"/>
                <w:sz w:val="24"/>
                <w:szCs w:val="24"/>
              </w:rPr>
            </w:pPr>
            <w:r w:rsidRPr="002206D2">
              <w:rPr>
                <w:rFonts w:ascii="Arial Narrow" w:hAnsi="Arial Narrow"/>
                <w:b w:val="0"/>
                <w:sz w:val="24"/>
                <w:szCs w:val="24"/>
              </w:rPr>
              <w:t>E.4.1. Provide financial incentives for on-site and off-site renewable generation (e.g. property tax breaks)</w:t>
            </w:r>
          </w:p>
          <w:p w14:paraId="62236F6C" w14:textId="77777777" w:rsidR="008751AD" w:rsidRDefault="008751AD" w:rsidP="008751AD">
            <w:pPr>
              <w:ind w:left="29"/>
              <w:rPr>
                <w:rFonts w:ascii="Arial Narrow" w:hAnsi="Arial Narrow"/>
                <w:b w:val="0"/>
                <w:sz w:val="24"/>
                <w:szCs w:val="24"/>
              </w:rPr>
            </w:pPr>
            <w:r w:rsidRPr="002206D2">
              <w:rPr>
                <w:rFonts w:ascii="Arial Narrow" w:hAnsi="Arial Narrow"/>
                <w:b w:val="0"/>
                <w:sz w:val="24"/>
                <w:szCs w:val="24"/>
              </w:rPr>
              <w:t xml:space="preserve">E.9.4. Invest in “community solar” projects </w:t>
            </w:r>
          </w:p>
          <w:p w14:paraId="33C48B04" w14:textId="77777777" w:rsidR="008751AD" w:rsidRDefault="008751AD" w:rsidP="007F6676">
            <w:pPr>
              <w:ind w:left="29"/>
              <w:rPr>
                <w:rFonts w:ascii="Arial Narrow" w:hAnsi="Arial Narrow"/>
                <w:b w:val="0"/>
                <w:sz w:val="24"/>
                <w:szCs w:val="24"/>
              </w:rPr>
            </w:pPr>
            <w:r w:rsidRPr="008751AD">
              <w:rPr>
                <w:rFonts w:ascii="Arial Narrow" w:hAnsi="Arial Narrow"/>
                <w:b w:val="0"/>
                <w:sz w:val="24"/>
                <w:szCs w:val="24"/>
              </w:rPr>
              <w:t>E.10.1. Install distributed renewable energy generation on city facilities</w:t>
            </w:r>
          </w:p>
          <w:p w14:paraId="08BF5079"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E.11.1. Establish or commission a city department or office separate from the city government to manage and implement renewable energy and energy performance programs</w:t>
            </w:r>
          </w:p>
          <w:p w14:paraId="21ECC825" w14:textId="2E7EED27" w:rsidR="007F6676" w:rsidRDefault="008751AD" w:rsidP="008751AD">
            <w:pPr>
              <w:ind w:left="29"/>
              <w:rPr>
                <w:rFonts w:ascii="Arial Narrow" w:hAnsi="Arial Narrow"/>
                <w:sz w:val="24"/>
                <w:szCs w:val="24"/>
              </w:rPr>
            </w:pPr>
            <w:r w:rsidRPr="008751AD">
              <w:rPr>
                <w:rFonts w:ascii="Arial Narrow" w:hAnsi="Arial Narrow"/>
                <w:b w:val="0"/>
                <w:sz w:val="24"/>
                <w:szCs w:val="24"/>
              </w:rPr>
              <w:t>E.11.2. Provide a centralized  online clean energy and energy efficiency commerce system that provides information on programs, access to financing and permits, and connection to support staff</w:t>
            </w:r>
          </w:p>
        </w:tc>
      </w:tr>
    </w:tbl>
    <w:p w14:paraId="3DF10D62" w14:textId="4A79D8EE" w:rsidR="008A47E8" w:rsidRDefault="008A47E8" w:rsidP="008A47E8">
      <w:bookmarkStart w:id="24" w:name="_Toc460348784"/>
    </w:p>
    <w:p w14:paraId="3F83F927" w14:textId="77777777" w:rsidR="008A47E8" w:rsidRDefault="008A47E8">
      <w:r>
        <w:br w:type="page"/>
      </w:r>
    </w:p>
    <w:p w14:paraId="0366DCA1" w14:textId="4164F7F4" w:rsidR="00647998" w:rsidRPr="005E0DBD" w:rsidRDefault="00647998" w:rsidP="00394C10">
      <w:pPr>
        <w:pStyle w:val="Heading3"/>
      </w:pPr>
      <w:r w:rsidRPr="005E0DBD">
        <w:t>Buildings</w:t>
      </w:r>
      <w:bookmarkEnd w:id="24"/>
    </w:p>
    <w:tbl>
      <w:tblPr>
        <w:tblStyle w:val="GridTable4-Accent61"/>
        <w:tblW w:w="0" w:type="auto"/>
        <w:tblLook w:val="04A0" w:firstRow="1" w:lastRow="0" w:firstColumn="1" w:lastColumn="0" w:noHBand="0" w:noVBand="1"/>
      </w:tblPr>
      <w:tblGrid>
        <w:gridCol w:w="9350"/>
      </w:tblGrid>
      <w:tr w:rsidR="00F37D37" w14:paraId="4518BDEC" w14:textId="77777777" w:rsidTr="009B53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5EC84C01" w14:textId="0EFDEDD7" w:rsidR="00F37D37" w:rsidRDefault="00F03C77" w:rsidP="009B53E8">
            <w:pPr>
              <w:jc w:val="both"/>
              <w:rPr>
                <w:rFonts w:ascii="Arial Narrow" w:hAnsi="Arial Narrow"/>
                <w:sz w:val="24"/>
                <w:szCs w:val="24"/>
              </w:rPr>
            </w:pPr>
            <w:r w:rsidRPr="00F03C77">
              <w:rPr>
                <w:rFonts w:ascii="Arial Narrow" w:hAnsi="Arial Narrow"/>
                <w:sz w:val="24"/>
                <w:szCs w:val="24"/>
              </w:rPr>
              <w:t>Priority Focus to Achieve Decarbonization</w:t>
            </w:r>
          </w:p>
        </w:tc>
      </w:tr>
      <w:tr w:rsidR="00F37D37" w14:paraId="177F5534" w14:textId="77777777" w:rsidTr="009B53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547EDE4B" w14:textId="094F415A" w:rsidR="00F37D37" w:rsidRPr="00F37D37" w:rsidRDefault="00F37D37" w:rsidP="00394C10">
            <w:pPr>
              <w:pStyle w:val="ListParagraph"/>
              <w:numPr>
                <w:ilvl w:val="0"/>
                <w:numId w:val="23"/>
              </w:numPr>
              <w:ind w:left="454" w:hanging="425"/>
              <w:jc w:val="both"/>
              <w:rPr>
                <w:rFonts w:ascii="Arial Narrow" w:hAnsi="Arial Narrow"/>
                <w:sz w:val="24"/>
                <w:szCs w:val="24"/>
              </w:rPr>
            </w:pPr>
            <w:r w:rsidRPr="00F37D37">
              <w:rPr>
                <w:rFonts w:ascii="Arial Narrow" w:hAnsi="Arial Narrow"/>
                <w:sz w:val="24"/>
                <w:szCs w:val="24"/>
              </w:rPr>
              <w:t>Lobby</w:t>
            </w:r>
            <w:r>
              <w:rPr>
                <w:rFonts w:ascii="Arial Narrow" w:hAnsi="Arial Narrow"/>
                <w:sz w:val="24"/>
                <w:szCs w:val="24"/>
              </w:rPr>
              <w:t xml:space="preserve"> the</w:t>
            </w:r>
            <w:r w:rsidRPr="00F37D37">
              <w:rPr>
                <w:rFonts w:ascii="Arial Narrow" w:hAnsi="Arial Narrow"/>
                <w:sz w:val="24"/>
                <w:szCs w:val="24"/>
              </w:rPr>
              <w:t xml:space="preserve"> state </w:t>
            </w:r>
            <w:r>
              <w:rPr>
                <w:rFonts w:ascii="Arial Narrow" w:hAnsi="Arial Narrow"/>
                <w:sz w:val="24"/>
                <w:szCs w:val="24"/>
              </w:rPr>
              <w:t xml:space="preserve">government </w:t>
            </w:r>
            <w:r w:rsidRPr="00F37D37">
              <w:rPr>
                <w:rFonts w:ascii="Arial Narrow" w:hAnsi="Arial Narrow"/>
                <w:sz w:val="24"/>
                <w:szCs w:val="24"/>
              </w:rPr>
              <w:t xml:space="preserve">for </w:t>
            </w:r>
            <w:r>
              <w:rPr>
                <w:rFonts w:ascii="Arial Narrow" w:hAnsi="Arial Narrow"/>
                <w:sz w:val="24"/>
                <w:szCs w:val="24"/>
              </w:rPr>
              <w:t xml:space="preserve">zero emission building codes that eliminate dependence on fossil fuels, </w:t>
            </w:r>
            <w:r w:rsidRPr="00F37D37">
              <w:rPr>
                <w:rFonts w:ascii="Arial Narrow" w:hAnsi="Arial Narrow"/>
                <w:sz w:val="24"/>
                <w:szCs w:val="24"/>
              </w:rPr>
              <w:t xml:space="preserve">or </w:t>
            </w:r>
            <w:r>
              <w:rPr>
                <w:rFonts w:ascii="Arial Narrow" w:hAnsi="Arial Narrow"/>
                <w:sz w:val="24"/>
                <w:szCs w:val="24"/>
              </w:rPr>
              <w:t xml:space="preserve">for </w:t>
            </w:r>
            <w:r w:rsidRPr="00F37D37">
              <w:rPr>
                <w:rFonts w:ascii="Arial Narrow" w:hAnsi="Arial Narrow"/>
                <w:sz w:val="24"/>
                <w:szCs w:val="24"/>
              </w:rPr>
              <w:t>control over building code</w:t>
            </w:r>
          </w:p>
          <w:p w14:paraId="1B84D678" w14:textId="500E6AE5" w:rsidR="00F37D37" w:rsidRDefault="00F37D37" w:rsidP="00394C10">
            <w:pPr>
              <w:pStyle w:val="ListParagraph"/>
              <w:numPr>
                <w:ilvl w:val="0"/>
                <w:numId w:val="23"/>
              </w:numPr>
              <w:ind w:left="454" w:hanging="425"/>
              <w:jc w:val="both"/>
              <w:rPr>
                <w:rFonts w:ascii="Arial Narrow" w:hAnsi="Arial Narrow"/>
                <w:sz w:val="24"/>
                <w:szCs w:val="24"/>
              </w:rPr>
            </w:pPr>
            <w:r w:rsidRPr="00F37D37">
              <w:rPr>
                <w:rFonts w:ascii="Arial Narrow" w:hAnsi="Arial Narrow"/>
                <w:sz w:val="24"/>
                <w:szCs w:val="24"/>
              </w:rPr>
              <w:t>Develop an innovative fuel switch retrofit program that eliminates fossil fuel dependency from all existing buildings</w:t>
            </w:r>
            <w:r w:rsidRPr="00306771">
              <w:rPr>
                <w:rFonts w:ascii="Arial Narrow" w:hAnsi="Arial Narrow"/>
                <w:sz w:val="24"/>
                <w:szCs w:val="24"/>
              </w:rPr>
              <w:t xml:space="preserve"> </w:t>
            </w:r>
          </w:p>
          <w:p w14:paraId="64B1E3DC" w14:textId="14ECEA7F" w:rsidR="00F37D37" w:rsidRPr="00CC3B23" w:rsidRDefault="00F37D37" w:rsidP="00394C10">
            <w:pPr>
              <w:pStyle w:val="ListParagraph"/>
              <w:numPr>
                <w:ilvl w:val="0"/>
                <w:numId w:val="23"/>
              </w:numPr>
              <w:ind w:left="454" w:hanging="425"/>
              <w:jc w:val="both"/>
              <w:rPr>
                <w:rFonts w:ascii="Arial Narrow" w:hAnsi="Arial Narrow"/>
                <w:sz w:val="24"/>
                <w:szCs w:val="24"/>
              </w:rPr>
            </w:pPr>
            <w:r w:rsidRPr="00F37D37">
              <w:rPr>
                <w:rFonts w:ascii="Arial Narrow" w:hAnsi="Arial Narrow"/>
                <w:sz w:val="24"/>
                <w:szCs w:val="24"/>
              </w:rPr>
              <w:t>Investigate building thermal and industrial energy needs and decarbonization options</w:t>
            </w:r>
          </w:p>
        </w:tc>
      </w:tr>
    </w:tbl>
    <w:p w14:paraId="44074EC4" w14:textId="77777777" w:rsidR="008A47E8" w:rsidRDefault="008E3425" w:rsidP="008A47E8">
      <w:pPr>
        <w:spacing w:before="240"/>
        <w:jc w:val="both"/>
        <w:rPr>
          <w:rFonts w:ascii="Arial Narrow" w:hAnsi="Arial Narrow"/>
          <w:sz w:val="24"/>
        </w:rPr>
      </w:pPr>
      <w:r w:rsidRPr="00CB3ABE">
        <w:rPr>
          <w:rFonts w:ascii="Arial Narrow" w:hAnsi="Arial Narrow"/>
          <w:sz w:val="24"/>
        </w:rPr>
        <w:t>To successfully achieve an energy system transformation</w:t>
      </w:r>
      <w:r>
        <w:rPr>
          <w:rFonts w:ascii="Arial Narrow" w:hAnsi="Arial Narrow"/>
          <w:sz w:val="24"/>
        </w:rPr>
        <w:t>, the City needs to eliminate GHG emissions from all new and existing buildings.</w:t>
      </w:r>
      <w:r w:rsidRPr="00CB3ABE">
        <w:rPr>
          <w:rFonts w:ascii="Arial Narrow" w:hAnsi="Arial Narrow"/>
          <w:sz w:val="24"/>
        </w:rPr>
        <w:t xml:space="preserve"> </w:t>
      </w:r>
      <w:r>
        <w:rPr>
          <w:rFonts w:ascii="Arial Narrow" w:hAnsi="Arial Narrow"/>
          <w:sz w:val="24"/>
        </w:rPr>
        <w:t xml:space="preserve">This will require both new building codes and an unprecedented retrofit program that eliminates fossil fuels from all buildings while making them much more efficient. In many cases, eliminating fossil fuel dependency can be achieved by converting building systems and switching technologies so buildings are powered entirely by electricity. However, this will not be possible for all buildings. In particular, </w:t>
      </w:r>
      <w:r w:rsidR="00394C10">
        <w:rPr>
          <w:rFonts w:ascii="Arial Narrow" w:hAnsi="Arial Narrow"/>
          <w:sz w:val="24"/>
        </w:rPr>
        <w:t>Minneapolis</w:t>
      </w:r>
      <w:r>
        <w:rPr>
          <w:rFonts w:ascii="Arial Narrow" w:hAnsi="Arial Narrow"/>
          <w:sz w:val="24"/>
        </w:rPr>
        <w:t xml:space="preserve"> (alongside other cities) will need to investigate how best to decarbonize building thermal systems (which often rely on natural gas) and industrial buildings (which can have unique and specific energy needs).</w:t>
      </w:r>
    </w:p>
    <w:p w14:paraId="2AD54493" w14:textId="67658D77" w:rsidR="008A47E8" w:rsidRDefault="008A47E8" w:rsidP="008A47E8">
      <w:pPr>
        <w:spacing w:before="240"/>
        <w:jc w:val="both"/>
        <w:rPr>
          <w:rFonts w:ascii="Arial Narrow" w:hAnsi="Arial Narrow"/>
          <w:sz w:val="24"/>
          <w:szCs w:val="24"/>
        </w:rPr>
      </w:pPr>
      <w:r w:rsidRPr="007F6676">
        <w:rPr>
          <w:rFonts w:ascii="Arial Narrow" w:hAnsi="Arial Narrow"/>
          <w:noProof/>
          <w:sz w:val="24"/>
          <w:szCs w:val="24"/>
          <w:lang w:eastAsia="en-CA"/>
        </w:rPr>
        <mc:AlternateContent>
          <mc:Choice Requires="wps">
            <w:drawing>
              <wp:anchor distT="45720" distB="45720" distL="114300" distR="114300" simplePos="0" relativeHeight="251683840" behindDoc="0" locked="0" layoutInCell="1" allowOverlap="1" wp14:anchorId="52B49192" wp14:editId="0A4EF454">
                <wp:simplePos x="0" y="0"/>
                <wp:positionH relativeFrom="margin">
                  <wp:align>center</wp:align>
                </wp:positionH>
                <wp:positionV relativeFrom="margin">
                  <wp:align>bottom</wp:align>
                </wp:positionV>
                <wp:extent cx="5859780" cy="3705225"/>
                <wp:effectExtent l="0" t="0" r="0" b="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9780" cy="3705225"/>
                        </a:xfrm>
                        <a:prstGeom prst="rect">
                          <a:avLst/>
                        </a:prstGeom>
                        <a:noFill/>
                        <a:ln w="9525">
                          <a:noFill/>
                          <a:miter lim="800000"/>
                          <a:headEnd/>
                          <a:tailEnd/>
                        </a:ln>
                      </wps:spPr>
                      <wps:txbx>
                        <w:txbxContent>
                          <w:tbl>
                            <w:tblPr>
                              <w:tblStyle w:val="GridTable4-Accent61"/>
                              <w:tblW w:w="0" w:type="auto"/>
                              <w:tblLook w:val="04A0" w:firstRow="1" w:lastRow="0" w:firstColumn="1" w:lastColumn="0" w:noHBand="0" w:noVBand="1"/>
                            </w:tblPr>
                            <w:tblGrid>
                              <w:gridCol w:w="8916"/>
                            </w:tblGrid>
                            <w:tr w:rsidR="008A47E8" w14:paraId="12CF6C89" w14:textId="77777777" w:rsidTr="00394C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26AE9679" w14:textId="77777777" w:rsidR="008A47E8" w:rsidRDefault="008A47E8" w:rsidP="007F6676">
                                  <w:pPr>
                                    <w:rPr>
                                      <w:rFonts w:ascii="Arial Narrow" w:hAnsi="Arial Narrow"/>
                                      <w:sz w:val="24"/>
                                      <w:szCs w:val="24"/>
                                    </w:rPr>
                                  </w:pPr>
                                  <w:r w:rsidRPr="00D47CE7">
                                    <w:rPr>
                                      <w:rFonts w:ascii="Arial Narrow" w:hAnsi="Arial Narrow"/>
                                      <w:sz w:val="24"/>
                                      <w:szCs w:val="24"/>
                                    </w:rPr>
                                    <w:t>Example: Zero Emissions Building Code</w:t>
                                  </w:r>
                                </w:p>
                              </w:tc>
                            </w:tr>
                            <w:tr w:rsidR="008A47E8" w14:paraId="76C288B1" w14:textId="77777777" w:rsidTr="00394C10">
                              <w:trPr>
                                <w:cnfStyle w:val="000000100000" w:firstRow="0" w:lastRow="0" w:firstColumn="0" w:lastColumn="0" w:oddVBand="0" w:evenVBand="0" w:oddHBand="1" w:evenHBand="0" w:firstRowFirstColumn="0" w:firstRowLastColumn="0" w:lastRowFirstColumn="0" w:lastRowLastColumn="0"/>
                                <w:trHeight w:val="2828"/>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3A838FAC" w14:textId="77777777" w:rsidR="008A47E8" w:rsidRDefault="008A47E8" w:rsidP="00D47CE7">
                                  <w:pPr>
                                    <w:ind w:left="29"/>
                                    <w:rPr>
                                      <w:rFonts w:ascii="Arial Narrow" w:hAnsi="Arial Narrow"/>
                                      <w:b w:val="0"/>
                                      <w:sz w:val="24"/>
                                      <w:szCs w:val="24"/>
                                    </w:rPr>
                                  </w:pPr>
                                  <w:r w:rsidRPr="00CC6642">
                                    <w:rPr>
                                      <w:rFonts w:ascii="Arial Narrow" w:hAnsi="Arial Narrow"/>
                                      <w:b w:val="0"/>
                                      <w:sz w:val="24"/>
                                      <w:szCs w:val="24"/>
                                    </w:rPr>
                                    <w:t xml:space="preserve"> Brussels provides an example of a successful regulatory process that has shifted the Capital Region from among the lowest building insulation standards in the early 2000s, to one of the most stringent building energy codes in Europe today. The affordability and feasibility of Passive House standards were first demonstrated through the Exemplary Buildings pilot program (2007-2009), eventually leading to the adoption of the Passive House ordinance in 2009, which mandated all new public construction to follow Passive House standards by 2010, and all new construction and all retrofits to follow as of January 2015. This commitment by the local government was supported by the broader Energy Performance and Indoor Environment in Buildings Regulation, which adopted the targets of the European Energy Performance of Buildings Directive, requesting all buildings to be Nearly-Zero Energy Buildings by the end of 2020.</w:t>
                                  </w:r>
                                </w:p>
                                <w:p w14:paraId="642B9365" w14:textId="77777777" w:rsidR="008A47E8" w:rsidRPr="00B93DF1" w:rsidRDefault="008A47E8" w:rsidP="00D47CE7">
                                  <w:pPr>
                                    <w:spacing w:before="120"/>
                                    <w:rPr>
                                      <w:rFonts w:ascii="Arial Narrow" w:hAnsi="Arial Narrow"/>
                                      <w:b w:val="0"/>
                                      <w:sz w:val="24"/>
                                      <w:szCs w:val="24"/>
                                    </w:rPr>
                                  </w:pPr>
                                  <w:r w:rsidRPr="00CC6642">
                                    <w:rPr>
                                      <w:rFonts w:ascii="Arial Narrow" w:hAnsi="Arial Narrow"/>
                                      <w:b w:val="0"/>
                                      <w:sz w:val="24"/>
                                      <w:szCs w:val="24"/>
                                    </w:rPr>
                                    <w:t>Dún Laoghaire-Rathdown, a county in the Dublin Region of Ireland, recently adopted its county development plan for 2016-2022, including an ordinance that requires all new buildings to be constructed to the Passive House standard. This standard restricts space heating and cooling energy demands, provides air tightness and thermal comfort requirements, and limits the primary energy demand of the entire building. These standards are achieved through a variety of building efficiency strategies, including: thermal insulation, passive house windows, ventilation heat recovery, airtightness of the building, absence of thermal bridges, as well as other innovative approaches, such as the solar orientation of the building, or the use of deciduous trees to provide shade in the summer and allow sunlight in the winter.</w:t>
                                  </w:r>
                                </w:p>
                              </w:tc>
                            </w:tr>
                          </w:tbl>
                          <w:p w14:paraId="2002E9EF" w14:textId="77777777" w:rsidR="008A47E8" w:rsidRDefault="008A47E8" w:rsidP="008A47E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B49192" id="_x0000_s1028" type="#_x0000_t202" style="position:absolute;left:0;text-align:left;margin-left:0;margin-top:0;width:461.4pt;height:291.75pt;z-index:251683840;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" filled="f" stroked="f">
                <v:textbox>
                  <w:txbxContent>
                    <w:tbl>
                      <w:tblPr>
                        <w:tblStyle w:val="GridTable4-Accent61"/>
                        <w:tblW w:w="0" w:type="auto"/>
                        <w:tblLook w:val="04A0" w:firstRow="1" w:lastRow="0" w:firstColumn="1" w:lastColumn="0" w:noHBand="0" w:noVBand="1"/>
                      </w:tblPr>
                      <w:tblGrid>
                        <w:gridCol w:w="8916"/>
                      </w:tblGrid>
                      <w:tr w:rsidR="008A47E8" w14:paraId="12CF6C89" w14:textId="77777777" w:rsidTr="00394C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26AE9679" w14:textId="77777777" w:rsidR="008A47E8" w:rsidRDefault="008A47E8" w:rsidP="007F6676">
                            <w:pPr>
                              <w:rPr>
                                <w:rFonts w:ascii="Arial Narrow" w:hAnsi="Arial Narrow"/>
                                <w:sz w:val="24"/>
                                <w:szCs w:val="24"/>
                              </w:rPr>
                            </w:pPr>
                            <w:r w:rsidRPr="00D47CE7">
                              <w:rPr>
                                <w:rFonts w:ascii="Arial Narrow" w:hAnsi="Arial Narrow"/>
                                <w:sz w:val="24"/>
                                <w:szCs w:val="24"/>
                              </w:rPr>
                              <w:t>Example: Zero Emissions Building Code</w:t>
                            </w:r>
                          </w:p>
                        </w:tc>
                      </w:tr>
                      <w:tr w:rsidR="008A47E8" w14:paraId="76C288B1" w14:textId="77777777" w:rsidTr="00394C10">
                        <w:trPr>
                          <w:cnfStyle w:val="000000100000" w:firstRow="0" w:lastRow="0" w:firstColumn="0" w:lastColumn="0" w:oddVBand="0" w:evenVBand="0" w:oddHBand="1" w:evenHBand="0" w:firstRowFirstColumn="0" w:firstRowLastColumn="0" w:lastRowFirstColumn="0" w:lastRowLastColumn="0"/>
                          <w:trHeight w:val="2828"/>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3A838FAC" w14:textId="77777777" w:rsidR="008A47E8" w:rsidRDefault="008A47E8" w:rsidP="00D47CE7">
                            <w:pPr>
                              <w:ind w:left="29"/>
                              <w:rPr>
                                <w:rFonts w:ascii="Arial Narrow" w:hAnsi="Arial Narrow"/>
                                <w:b w:val="0"/>
                                <w:sz w:val="24"/>
                                <w:szCs w:val="24"/>
                              </w:rPr>
                            </w:pPr>
                            <w:r w:rsidRPr="00CC6642">
                              <w:rPr>
                                <w:rFonts w:ascii="Arial Narrow" w:hAnsi="Arial Narrow"/>
                                <w:b w:val="0"/>
                                <w:sz w:val="24"/>
                                <w:szCs w:val="24"/>
                              </w:rPr>
                              <w:t xml:space="preserve"> Brussels provides an example of a successful regulatory process that has shifted the Capital Region from among the lowest building insulation standards in the early 2000s, to one of the most stringent building energy codes in Europe today. The affordability and feasibility of Passive House standards were first demonstrated through the Exemplary Buildings pilot program (2007-2009), eventually leading to the adoption of the Passive House ordinance in 2009, which mandated all new public construction to follow Passive House standards by 2010, and all new construction and all retrofits to follow as of January 2015. This commitment by the local government was supported by the broader Energy Performance and Indoor Environment in Buildings Regulation, which adopted the targets of the European Energy Performance of Buildings Directive, requesting all buildings to be Nearly-Zero Energy Buildings by the end of 2020.</w:t>
                            </w:r>
                          </w:p>
                          <w:p w14:paraId="642B9365" w14:textId="77777777" w:rsidR="008A47E8" w:rsidRPr="00B93DF1" w:rsidRDefault="008A47E8" w:rsidP="00D47CE7">
                            <w:pPr>
                              <w:spacing w:before="120"/>
                              <w:rPr>
                                <w:rFonts w:ascii="Arial Narrow" w:hAnsi="Arial Narrow"/>
                                <w:b w:val="0"/>
                                <w:sz w:val="24"/>
                                <w:szCs w:val="24"/>
                              </w:rPr>
                            </w:pPr>
                            <w:r w:rsidRPr="00CC6642">
                              <w:rPr>
                                <w:rFonts w:ascii="Arial Narrow" w:hAnsi="Arial Narrow"/>
                                <w:b w:val="0"/>
                                <w:sz w:val="24"/>
                                <w:szCs w:val="24"/>
                              </w:rPr>
                              <w:t>Dún Laoghaire-Rathdown, a county in the Dublin Region of Ireland, recently adopted its county development plan for 2016-2022, including an ordinance that requires all new buildings to be constructed to the Passive House standard. This standard restricts space heating and cooling energy demands, provides air tightness and thermal comfort requirements, and limits the primary energy demand of the entire building. These standards are achieved through a variety of building efficiency strategies, including: thermal insulation, passive house windows, ventilation heat recovery, airtightness of the building, absence of thermal bridges, as well as other innovative approaches, such as the solar orientation of the building, or the use of deciduous trees to provide shade in the summer and allow sunlight in the winter.</w:t>
                            </w:r>
                          </w:p>
                        </w:tc>
                      </w:tr>
                    </w:tbl>
                    <w:p w14:paraId="2002E9EF" w14:textId="77777777" w:rsidR="008A47E8" w:rsidRDefault="008A47E8" w:rsidP="008A47E8"/>
                  </w:txbxContent>
                </v:textbox>
                <w10:wrap type="square" anchorx="margin" anchory="margin"/>
              </v:shape>
            </w:pict>
          </mc:Fallback>
        </mc:AlternateContent>
      </w:r>
      <w:r>
        <w:rPr>
          <w:rFonts w:ascii="Arial Narrow" w:hAnsi="Arial Narrow"/>
          <w:sz w:val="24"/>
          <w:szCs w:val="24"/>
        </w:rPr>
        <w:t xml:space="preserve">Under a scenario with any significant amount of new development, </w:t>
      </w:r>
      <w:r w:rsidRPr="00B67C60">
        <w:rPr>
          <w:rFonts w:ascii="Arial Narrow" w:hAnsi="Arial Narrow"/>
          <w:sz w:val="24"/>
          <w:szCs w:val="24"/>
        </w:rPr>
        <w:t xml:space="preserve">Minneapolis’ lack of control over the building code will </w:t>
      </w:r>
      <w:r>
        <w:rPr>
          <w:rFonts w:ascii="Arial Narrow" w:hAnsi="Arial Narrow"/>
          <w:sz w:val="24"/>
          <w:szCs w:val="24"/>
        </w:rPr>
        <w:t xml:space="preserve">severely </w:t>
      </w:r>
      <w:r w:rsidRPr="00B67C60">
        <w:rPr>
          <w:rFonts w:ascii="Arial Narrow" w:hAnsi="Arial Narrow"/>
          <w:sz w:val="24"/>
          <w:szCs w:val="24"/>
        </w:rPr>
        <w:t xml:space="preserve">restrict its ability to enforce the kinds of policies necessary to shift the built environment towards zero </w:t>
      </w:r>
      <w:r>
        <w:rPr>
          <w:rFonts w:ascii="Arial Narrow" w:hAnsi="Arial Narrow"/>
          <w:sz w:val="24"/>
          <w:szCs w:val="24"/>
        </w:rPr>
        <w:t>emissions in a cost-effective and proactive manner</w:t>
      </w:r>
      <w:r w:rsidRPr="00B67C60">
        <w:rPr>
          <w:rFonts w:ascii="Arial Narrow" w:hAnsi="Arial Narrow"/>
          <w:sz w:val="24"/>
          <w:szCs w:val="24"/>
        </w:rPr>
        <w:t xml:space="preserve">. </w:t>
      </w:r>
      <w:r>
        <w:rPr>
          <w:rFonts w:ascii="Arial Narrow" w:hAnsi="Arial Narrow"/>
          <w:sz w:val="24"/>
          <w:szCs w:val="24"/>
        </w:rPr>
        <w:t xml:space="preserve">With population (and building square footage) growth expected to continue, Minneapolis must lobby the state government to implement a path to extremely efficient building codes that eliminate dependency on fossil fuels, or work to get control over its own building code. Without such power or actions by the state government, </w:t>
      </w:r>
      <w:r w:rsidRPr="00B67C60">
        <w:rPr>
          <w:rFonts w:ascii="Arial Narrow" w:hAnsi="Arial Narrow"/>
          <w:sz w:val="24"/>
          <w:szCs w:val="24"/>
        </w:rPr>
        <w:t xml:space="preserve">any efforts to encourage buildings to shift from natural gas to electricity will similarly be limited. As such, the priority actions listed below should be accompanied by active efforts to lobby the </w:t>
      </w:r>
      <w:r>
        <w:rPr>
          <w:rFonts w:ascii="Arial Narrow" w:hAnsi="Arial Narrow"/>
          <w:sz w:val="24"/>
          <w:szCs w:val="24"/>
        </w:rPr>
        <w:t xml:space="preserve">state government </w:t>
      </w:r>
      <w:r w:rsidRPr="00B67C60">
        <w:rPr>
          <w:rFonts w:ascii="Arial Narrow" w:hAnsi="Arial Narrow"/>
          <w:sz w:val="24"/>
          <w:szCs w:val="24"/>
        </w:rPr>
        <w:t xml:space="preserve">for </w:t>
      </w:r>
      <w:r>
        <w:rPr>
          <w:rFonts w:ascii="Arial Narrow" w:hAnsi="Arial Narrow"/>
          <w:sz w:val="24"/>
          <w:szCs w:val="24"/>
        </w:rPr>
        <w:t xml:space="preserve">a path to building codes designed for a zero emission future, or </w:t>
      </w:r>
      <w:r w:rsidRPr="00B67C60">
        <w:rPr>
          <w:rFonts w:ascii="Arial Narrow" w:hAnsi="Arial Narrow"/>
          <w:sz w:val="24"/>
          <w:szCs w:val="24"/>
        </w:rPr>
        <w:t>municipal authority over the building code.</w:t>
      </w:r>
    </w:p>
    <w:p w14:paraId="2FA2F1F0" w14:textId="09FF3007" w:rsidR="00647998" w:rsidRPr="00D47CE7" w:rsidRDefault="00647998" w:rsidP="00647998">
      <w:pPr>
        <w:jc w:val="both"/>
        <w:rPr>
          <w:rFonts w:ascii="Arial Narrow" w:hAnsi="Arial Narrow"/>
          <w:sz w:val="24"/>
          <w:szCs w:val="24"/>
        </w:rPr>
      </w:pPr>
      <w:r>
        <w:rPr>
          <w:rFonts w:ascii="Arial Narrow" w:hAnsi="Arial Narrow"/>
          <w:sz w:val="24"/>
        </w:rPr>
        <w:t xml:space="preserve">The </w:t>
      </w:r>
      <w:r w:rsidR="00394C10">
        <w:rPr>
          <w:rFonts w:ascii="Arial Narrow" w:hAnsi="Arial Narrow"/>
          <w:i/>
          <w:sz w:val="24"/>
        </w:rPr>
        <w:t xml:space="preserve">Transformation </w:t>
      </w:r>
      <w:r w:rsidR="00022434" w:rsidRPr="00394C10">
        <w:rPr>
          <w:rFonts w:ascii="Arial Narrow" w:hAnsi="Arial Narrow"/>
          <w:i/>
          <w:sz w:val="24"/>
        </w:rPr>
        <w:t>Scenario</w:t>
      </w:r>
      <w:r w:rsidR="00022434">
        <w:rPr>
          <w:rFonts w:ascii="Arial Narrow" w:hAnsi="Arial Narrow"/>
          <w:sz w:val="24"/>
        </w:rPr>
        <w:t xml:space="preserve"> </w:t>
      </w:r>
      <w:r>
        <w:rPr>
          <w:rFonts w:ascii="Arial Narrow" w:hAnsi="Arial Narrow"/>
          <w:sz w:val="24"/>
        </w:rPr>
        <w:t xml:space="preserve">modeled here assumes the City follows a path to </w:t>
      </w:r>
      <w:r w:rsidRPr="00E55C32">
        <w:rPr>
          <w:rFonts w:ascii="Arial Narrow" w:hAnsi="Arial Narrow"/>
          <w:sz w:val="24"/>
        </w:rPr>
        <w:t xml:space="preserve">Net Zero Energy building codes </w:t>
      </w:r>
      <w:r>
        <w:rPr>
          <w:rFonts w:ascii="Arial Narrow" w:hAnsi="Arial Narrow"/>
          <w:sz w:val="24"/>
        </w:rPr>
        <w:t>starting in 2020</w:t>
      </w:r>
      <w:r w:rsidR="00FA0F48">
        <w:rPr>
          <w:rFonts w:ascii="Arial Narrow" w:hAnsi="Arial Narrow"/>
          <w:sz w:val="24"/>
        </w:rPr>
        <w:t>,</w:t>
      </w:r>
      <w:r>
        <w:rPr>
          <w:rFonts w:ascii="Arial Narrow" w:hAnsi="Arial Narrow"/>
          <w:sz w:val="24"/>
        </w:rPr>
        <w:t xml:space="preserve"> with maximum energy efficiency reached </w:t>
      </w:r>
      <w:r w:rsidRPr="00E55C32">
        <w:rPr>
          <w:rFonts w:ascii="Arial Narrow" w:hAnsi="Arial Narrow"/>
          <w:sz w:val="24"/>
        </w:rPr>
        <w:t>by 2030</w:t>
      </w:r>
      <w:r>
        <w:rPr>
          <w:rFonts w:ascii="Arial Narrow" w:hAnsi="Arial Narrow"/>
          <w:sz w:val="24"/>
        </w:rPr>
        <w:t>.</w:t>
      </w:r>
      <w:r>
        <w:rPr>
          <w:rStyle w:val="FootnoteReference"/>
          <w:rFonts w:ascii="Arial Narrow" w:hAnsi="Arial Narrow"/>
          <w:sz w:val="24"/>
        </w:rPr>
        <w:footnoteReference w:id="5"/>
      </w:r>
      <w:r>
        <w:rPr>
          <w:rFonts w:ascii="Arial Narrow" w:hAnsi="Arial Narrow"/>
          <w:sz w:val="24"/>
        </w:rPr>
        <w:t xml:space="preserve"> </w:t>
      </w:r>
      <w:r w:rsidR="00FA0F48">
        <w:rPr>
          <w:rFonts w:ascii="Arial Narrow" w:hAnsi="Arial Narrow"/>
          <w:sz w:val="24"/>
        </w:rPr>
        <w:t>Significantly</w:t>
      </w:r>
      <w:r>
        <w:rPr>
          <w:rFonts w:ascii="Arial Narrow" w:hAnsi="Arial Narrow"/>
          <w:sz w:val="24"/>
        </w:rPr>
        <w:t xml:space="preserve"> more energy efficient</w:t>
      </w:r>
      <w:r w:rsidR="00D47CE7" w:rsidRPr="00D47CE7">
        <w:rPr>
          <w:rFonts w:ascii="Arial Narrow" w:hAnsi="Arial Narrow"/>
          <w:sz w:val="24"/>
        </w:rPr>
        <w:t xml:space="preserve"> </w:t>
      </w:r>
      <w:r w:rsidR="00D47CE7">
        <w:rPr>
          <w:rFonts w:ascii="Arial Narrow" w:hAnsi="Arial Narrow"/>
          <w:sz w:val="24"/>
        </w:rPr>
        <w:t xml:space="preserve">building codes will be required to prevent both further increases in energy demand and built-in fossil fuel dependency. Once built, the 3.1 million square feet of new buildings will stand for decades, and will require future retrofits at additional expense to shift away from fossil fuels at a later date. That said, the net zero energy codes modeled in this scenario were designed to be extremely efficient but </w:t>
      </w:r>
      <w:r w:rsidR="00D47CE7" w:rsidRPr="008A030C">
        <w:rPr>
          <w:rFonts w:ascii="Arial Narrow" w:hAnsi="Arial Narrow"/>
          <w:i/>
          <w:sz w:val="24"/>
        </w:rPr>
        <w:t>not</w:t>
      </w:r>
      <w:r w:rsidR="00D47CE7">
        <w:rPr>
          <w:rFonts w:ascii="Arial Narrow" w:hAnsi="Arial Narrow"/>
          <w:sz w:val="24"/>
        </w:rPr>
        <w:t xml:space="preserve"> devoid of natural gas use. As such, the resulting retrofit requirements to eliminate fossil fuels provide a sense of the scale of action necessary to decarbonize the neighborhood’s building stock.</w:t>
      </w:r>
    </w:p>
    <w:p w14:paraId="19284F58" w14:textId="1DE23D95" w:rsidR="00647998" w:rsidRDefault="00394C10" w:rsidP="00647998">
      <w:pPr>
        <w:jc w:val="both"/>
        <w:rPr>
          <w:rFonts w:ascii="Arial Narrow" w:hAnsi="Arial Narrow"/>
          <w:sz w:val="24"/>
        </w:rPr>
      </w:pPr>
      <w:r>
        <w:rPr>
          <w:rFonts w:ascii="Arial Narrow" w:hAnsi="Arial Narrow"/>
          <w:sz w:val="24"/>
        </w:rPr>
        <w:t>For existing buildings, t</w:t>
      </w:r>
      <w:r w:rsidR="002F5CEE">
        <w:rPr>
          <w:rFonts w:ascii="Arial Narrow" w:hAnsi="Arial Narrow"/>
          <w:sz w:val="24"/>
        </w:rPr>
        <w:t xml:space="preserve">he </w:t>
      </w:r>
      <w:r>
        <w:rPr>
          <w:rFonts w:ascii="Arial Narrow" w:hAnsi="Arial Narrow"/>
          <w:i/>
          <w:sz w:val="24"/>
        </w:rPr>
        <w:t xml:space="preserve">Transformation Scenario </w:t>
      </w:r>
      <w:r w:rsidR="008A030C">
        <w:rPr>
          <w:rFonts w:ascii="Arial Narrow" w:hAnsi="Arial Narrow"/>
          <w:sz w:val="24"/>
        </w:rPr>
        <w:t xml:space="preserve">here </w:t>
      </w:r>
      <w:r w:rsidR="002F5CEE">
        <w:rPr>
          <w:rFonts w:ascii="Arial Narrow" w:hAnsi="Arial Narrow"/>
          <w:sz w:val="24"/>
        </w:rPr>
        <w:t xml:space="preserve">assumes an aggressive retrofit program </w:t>
      </w:r>
      <w:r w:rsidR="00647998">
        <w:rPr>
          <w:rFonts w:ascii="Arial Narrow" w:hAnsi="Arial Narrow"/>
          <w:sz w:val="24"/>
        </w:rPr>
        <w:t>to eliminate any fossil fuel dependency (</w:t>
      </w:r>
      <w:r w:rsidR="008A030C">
        <w:rPr>
          <w:rFonts w:ascii="Arial Narrow" w:hAnsi="Arial Narrow"/>
          <w:sz w:val="24"/>
        </w:rPr>
        <w:t xml:space="preserve">i.e. </w:t>
      </w:r>
      <w:r w:rsidR="00647998">
        <w:rPr>
          <w:rFonts w:ascii="Arial Narrow" w:hAnsi="Arial Narrow"/>
          <w:sz w:val="24"/>
        </w:rPr>
        <w:t>fuel switching retrofits) and make buildings more energy efficient (</w:t>
      </w:r>
      <w:r w:rsidR="008A030C">
        <w:rPr>
          <w:rFonts w:ascii="Arial Narrow" w:hAnsi="Arial Narrow"/>
          <w:sz w:val="24"/>
        </w:rPr>
        <w:t xml:space="preserve">i.e. </w:t>
      </w:r>
      <w:r w:rsidR="00647998">
        <w:rPr>
          <w:rFonts w:ascii="Arial Narrow" w:hAnsi="Arial Narrow"/>
          <w:sz w:val="24"/>
        </w:rPr>
        <w:t xml:space="preserve">energy efficiency retrofits). </w:t>
      </w:r>
      <w:r w:rsidR="008A030C">
        <w:rPr>
          <w:rFonts w:ascii="Arial Narrow" w:hAnsi="Arial Narrow"/>
          <w:sz w:val="24"/>
        </w:rPr>
        <w:t>A</w:t>
      </w:r>
      <w:r w:rsidR="002F5CEE">
        <w:rPr>
          <w:rFonts w:ascii="Arial Narrow" w:hAnsi="Arial Narrow"/>
          <w:sz w:val="24"/>
        </w:rPr>
        <w:t xml:space="preserve">pproximately </w:t>
      </w:r>
      <w:r w:rsidR="00022434">
        <w:rPr>
          <w:rFonts w:ascii="Arial Narrow" w:hAnsi="Arial Narrow"/>
          <w:sz w:val="24"/>
        </w:rPr>
        <w:t xml:space="preserve">80% </w:t>
      </w:r>
      <w:r w:rsidR="00647998">
        <w:rPr>
          <w:rFonts w:ascii="Arial Narrow" w:hAnsi="Arial Narrow"/>
          <w:sz w:val="24"/>
        </w:rPr>
        <w:t xml:space="preserve">of natural gas is eliminated from buildings </w:t>
      </w:r>
      <w:r w:rsidR="008A030C">
        <w:rPr>
          <w:rFonts w:ascii="Arial Narrow" w:hAnsi="Arial Narrow"/>
          <w:sz w:val="24"/>
        </w:rPr>
        <w:t xml:space="preserve">via </w:t>
      </w:r>
      <w:r w:rsidR="00647998">
        <w:rPr>
          <w:rFonts w:ascii="Arial Narrow" w:hAnsi="Arial Narrow"/>
          <w:sz w:val="24"/>
        </w:rPr>
        <w:t xml:space="preserve">retrofit programs </w:t>
      </w:r>
      <w:r w:rsidR="008A030C">
        <w:rPr>
          <w:rFonts w:ascii="Arial Narrow" w:hAnsi="Arial Narrow"/>
          <w:sz w:val="24"/>
        </w:rPr>
        <w:t xml:space="preserve">that will affect </w:t>
      </w:r>
      <w:r w:rsidR="00647998">
        <w:rPr>
          <w:rFonts w:ascii="Arial Narrow" w:hAnsi="Arial Narrow"/>
          <w:sz w:val="24"/>
        </w:rPr>
        <w:t xml:space="preserve">approximately 3% of the building stock </w:t>
      </w:r>
      <w:r w:rsidR="008A030C">
        <w:rPr>
          <w:rFonts w:ascii="Arial Narrow" w:hAnsi="Arial Narrow"/>
          <w:sz w:val="24"/>
        </w:rPr>
        <w:t xml:space="preserve">per year </w:t>
      </w:r>
      <w:r w:rsidR="00647998">
        <w:rPr>
          <w:rFonts w:ascii="Arial Narrow" w:hAnsi="Arial Narrow"/>
          <w:sz w:val="24"/>
        </w:rPr>
        <w:t>between 2017 and 2050.</w:t>
      </w:r>
      <w:r w:rsidR="00647998" w:rsidRPr="00E55C32">
        <w:rPr>
          <w:rFonts w:ascii="Arial Narrow" w:hAnsi="Arial Narrow"/>
          <w:sz w:val="24"/>
        </w:rPr>
        <w:t xml:space="preserve"> For most buildings</w:t>
      </w:r>
      <w:r w:rsidR="00647998">
        <w:rPr>
          <w:rFonts w:ascii="Arial Narrow" w:hAnsi="Arial Narrow"/>
          <w:sz w:val="24"/>
        </w:rPr>
        <w:t>,</w:t>
      </w:r>
      <w:r w:rsidR="00647998" w:rsidRPr="00E55C32">
        <w:rPr>
          <w:rFonts w:ascii="Arial Narrow" w:hAnsi="Arial Narrow"/>
          <w:sz w:val="24"/>
        </w:rPr>
        <w:t xml:space="preserve"> this </w:t>
      </w:r>
      <w:r w:rsidR="00647998">
        <w:rPr>
          <w:rFonts w:ascii="Arial Narrow" w:hAnsi="Arial Narrow"/>
          <w:sz w:val="24"/>
        </w:rPr>
        <w:t xml:space="preserve">can be </w:t>
      </w:r>
      <w:r w:rsidR="008A030C">
        <w:rPr>
          <w:rFonts w:ascii="Arial Narrow" w:hAnsi="Arial Narrow"/>
          <w:sz w:val="24"/>
        </w:rPr>
        <w:t>achieved</w:t>
      </w:r>
      <w:r w:rsidR="00647998">
        <w:rPr>
          <w:rFonts w:ascii="Arial Narrow" w:hAnsi="Arial Narrow"/>
          <w:sz w:val="24"/>
        </w:rPr>
        <w:t xml:space="preserve"> </w:t>
      </w:r>
      <w:r w:rsidR="008A030C">
        <w:rPr>
          <w:rFonts w:ascii="Arial Narrow" w:hAnsi="Arial Narrow"/>
          <w:sz w:val="24"/>
        </w:rPr>
        <w:t xml:space="preserve">via </w:t>
      </w:r>
      <w:r w:rsidR="00647998" w:rsidRPr="00E55C32">
        <w:rPr>
          <w:rFonts w:ascii="Arial Narrow" w:hAnsi="Arial Narrow"/>
          <w:sz w:val="24"/>
        </w:rPr>
        <w:t>a shift to electricity; for others, such as industrial facilities, it will require the use of alternative low-emission fuels</w:t>
      </w:r>
      <w:r w:rsidR="008A030C">
        <w:rPr>
          <w:rFonts w:ascii="Arial Narrow" w:hAnsi="Arial Narrow"/>
          <w:sz w:val="24"/>
        </w:rPr>
        <w:t>, including district energy</w:t>
      </w:r>
      <w:r w:rsidR="00647998" w:rsidRPr="00E55C32">
        <w:rPr>
          <w:rFonts w:ascii="Arial Narrow" w:hAnsi="Arial Narrow"/>
          <w:sz w:val="24"/>
        </w:rPr>
        <w:t xml:space="preserve">. </w:t>
      </w:r>
      <w:r w:rsidR="008A030C">
        <w:rPr>
          <w:rFonts w:ascii="Arial Narrow" w:hAnsi="Arial Narrow"/>
          <w:sz w:val="24"/>
        </w:rPr>
        <w:t xml:space="preserve">Finally, </w:t>
      </w:r>
      <w:r w:rsidR="00EC7185">
        <w:rPr>
          <w:rFonts w:ascii="Arial Narrow" w:hAnsi="Arial Narrow"/>
          <w:sz w:val="24"/>
        </w:rPr>
        <w:t xml:space="preserve">as noted under </w:t>
      </w:r>
      <w:r w:rsidR="00EC7185">
        <w:rPr>
          <w:rFonts w:ascii="Arial Narrow" w:hAnsi="Arial Narrow"/>
          <w:sz w:val="24"/>
        </w:rPr>
        <w:fldChar w:fldCharType="begin"/>
      </w:r>
      <w:r w:rsidR="00EC7185">
        <w:rPr>
          <w:rFonts w:ascii="Arial Narrow" w:hAnsi="Arial Narrow"/>
          <w:sz w:val="24"/>
        </w:rPr>
        <w:instrText xml:space="preserve"> REF _Ref456360034 \h  \* MERGEFORMAT </w:instrText>
      </w:r>
      <w:r w:rsidR="00EC7185">
        <w:rPr>
          <w:rFonts w:ascii="Arial Narrow" w:hAnsi="Arial Narrow"/>
          <w:sz w:val="24"/>
        </w:rPr>
      </w:r>
      <w:r w:rsidR="00EC7185">
        <w:rPr>
          <w:rFonts w:ascii="Arial Narrow" w:hAnsi="Arial Narrow"/>
          <w:sz w:val="24"/>
        </w:rPr>
        <w:fldChar w:fldCharType="separate"/>
      </w:r>
      <w:r w:rsidR="00394D4A" w:rsidRPr="00394D4A">
        <w:rPr>
          <w:rFonts w:ascii="Arial Narrow" w:hAnsi="Arial Narrow"/>
          <w:sz w:val="24"/>
        </w:rPr>
        <w:t xml:space="preserve">Table </w:t>
      </w:r>
      <w:r w:rsidR="00394D4A" w:rsidRPr="00394D4A">
        <w:rPr>
          <w:rFonts w:ascii="Arial Narrow" w:hAnsi="Arial Narrow"/>
          <w:sz w:val="24"/>
        </w:rPr>
        <w:t>2</w:t>
      </w:r>
      <w:r w:rsidR="00EC7185">
        <w:rPr>
          <w:rFonts w:ascii="Arial Narrow" w:hAnsi="Arial Narrow"/>
          <w:sz w:val="24"/>
        </w:rPr>
        <w:fldChar w:fldCharType="end"/>
      </w:r>
      <w:r w:rsidR="00EC7185">
        <w:rPr>
          <w:rFonts w:ascii="Arial Narrow" w:hAnsi="Arial Narrow"/>
          <w:sz w:val="24"/>
        </w:rPr>
        <w:t xml:space="preserve">, </w:t>
      </w:r>
      <w:r w:rsidR="008A030C">
        <w:rPr>
          <w:rFonts w:ascii="Arial Narrow" w:hAnsi="Arial Narrow"/>
          <w:sz w:val="24"/>
        </w:rPr>
        <w:t>t</w:t>
      </w:r>
      <w:r w:rsidR="00647998">
        <w:rPr>
          <w:rFonts w:ascii="Arial Narrow" w:hAnsi="Arial Narrow"/>
          <w:sz w:val="24"/>
        </w:rPr>
        <w:t xml:space="preserve">his scenario </w:t>
      </w:r>
      <w:r w:rsidR="002F5CEE">
        <w:rPr>
          <w:rFonts w:ascii="Arial Narrow" w:hAnsi="Arial Narrow"/>
          <w:sz w:val="24"/>
        </w:rPr>
        <w:t>assumes</w:t>
      </w:r>
      <w:r w:rsidR="00647998">
        <w:rPr>
          <w:rFonts w:ascii="Arial Narrow" w:hAnsi="Arial Narrow"/>
          <w:sz w:val="24"/>
        </w:rPr>
        <w:t xml:space="preserve"> all natural gas is shifted to electricity at a one-to-one rate</w:t>
      </w:r>
      <w:r w:rsidR="00EC7185">
        <w:rPr>
          <w:rFonts w:ascii="Arial Narrow" w:hAnsi="Arial Narrow"/>
          <w:sz w:val="24"/>
        </w:rPr>
        <w:t xml:space="preserve">, which </w:t>
      </w:r>
      <w:r w:rsidR="008A030C">
        <w:rPr>
          <w:rFonts w:ascii="Arial Narrow" w:hAnsi="Arial Narrow"/>
          <w:sz w:val="24"/>
        </w:rPr>
        <w:t xml:space="preserve">likely </w:t>
      </w:r>
      <w:r w:rsidR="00EC7185">
        <w:rPr>
          <w:rFonts w:ascii="Arial Narrow" w:hAnsi="Arial Narrow"/>
          <w:sz w:val="24"/>
        </w:rPr>
        <w:t xml:space="preserve">causes </w:t>
      </w:r>
      <w:r w:rsidR="008A030C">
        <w:rPr>
          <w:rFonts w:ascii="Arial Narrow" w:hAnsi="Arial Narrow"/>
          <w:sz w:val="24"/>
        </w:rPr>
        <w:t xml:space="preserve">an overestimation of </w:t>
      </w:r>
      <w:r w:rsidR="00647998">
        <w:rPr>
          <w:rFonts w:ascii="Arial Narrow" w:hAnsi="Arial Narrow"/>
          <w:sz w:val="24"/>
        </w:rPr>
        <w:t xml:space="preserve">projected electricity consumption </w:t>
      </w:r>
      <w:r w:rsidR="008A030C">
        <w:rPr>
          <w:rFonts w:ascii="Arial Narrow" w:hAnsi="Arial Narrow"/>
          <w:sz w:val="24"/>
        </w:rPr>
        <w:t>due to the high</w:t>
      </w:r>
      <w:r w:rsidR="00EC7185">
        <w:rPr>
          <w:rFonts w:ascii="Arial Narrow" w:hAnsi="Arial Narrow"/>
          <w:sz w:val="24"/>
        </w:rPr>
        <w:t>er</w:t>
      </w:r>
      <w:r w:rsidR="008A030C">
        <w:rPr>
          <w:rFonts w:ascii="Arial Narrow" w:hAnsi="Arial Narrow"/>
          <w:sz w:val="24"/>
        </w:rPr>
        <w:t xml:space="preserve"> efficiency of </w:t>
      </w:r>
      <w:r w:rsidR="00647998">
        <w:rPr>
          <w:rFonts w:ascii="Arial Narrow" w:hAnsi="Arial Narrow"/>
          <w:sz w:val="24"/>
        </w:rPr>
        <w:t xml:space="preserve">electricity-powered building systems </w:t>
      </w:r>
      <w:r w:rsidR="00EC7185">
        <w:rPr>
          <w:rFonts w:ascii="Arial Narrow" w:hAnsi="Arial Narrow"/>
          <w:sz w:val="24"/>
        </w:rPr>
        <w:t>compared to</w:t>
      </w:r>
      <w:r w:rsidR="008A030C">
        <w:rPr>
          <w:rFonts w:ascii="Arial Narrow" w:hAnsi="Arial Narrow"/>
          <w:sz w:val="24"/>
        </w:rPr>
        <w:t xml:space="preserve"> </w:t>
      </w:r>
      <w:r w:rsidR="00647998">
        <w:rPr>
          <w:rFonts w:ascii="Arial Narrow" w:hAnsi="Arial Narrow"/>
          <w:sz w:val="24"/>
        </w:rPr>
        <w:t>natural gas-powered systems.</w:t>
      </w:r>
      <w:r w:rsidR="00647998">
        <w:rPr>
          <w:rStyle w:val="FootnoteReference"/>
          <w:rFonts w:ascii="Arial Narrow" w:hAnsi="Arial Narrow"/>
          <w:sz w:val="24"/>
        </w:rPr>
        <w:footnoteReference w:id="6"/>
      </w:r>
      <w:r w:rsidR="00647998">
        <w:rPr>
          <w:rFonts w:ascii="Arial Narrow" w:hAnsi="Arial Narrow"/>
          <w:sz w:val="24"/>
        </w:rPr>
        <w:t xml:space="preserve"> On top of fuel switching retrofits, this scenario </w:t>
      </w:r>
      <w:r w:rsidR="008A030C">
        <w:rPr>
          <w:rFonts w:ascii="Arial Narrow" w:hAnsi="Arial Narrow"/>
          <w:sz w:val="24"/>
        </w:rPr>
        <w:t xml:space="preserve">also </w:t>
      </w:r>
      <w:r w:rsidR="00647998">
        <w:rPr>
          <w:rFonts w:ascii="Arial Narrow" w:hAnsi="Arial Narrow"/>
          <w:sz w:val="24"/>
        </w:rPr>
        <w:t xml:space="preserve">assumes </w:t>
      </w:r>
      <w:r w:rsidR="008A030C">
        <w:rPr>
          <w:rFonts w:ascii="Arial Narrow" w:hAnsi="Arial Narrow"/>
          <w:sz w:val="24"/>
        </w:rPr>
        <w:t xml:space="preserve">that </w:t>
      </w:r>
      <w:r w:rsidR="00647998">
        <w:rPr>
          <w:rFonts w:ascii="Arial Narrow" w:hAnsi="Arial Narrow"/>
          <w:sz w:val="24"/>
        </w:rPr>
        <w:t xml:space="preserve">the City </w:t>
      </w:r>
      <w:r w:rsidR="008A030C">
        <w:rPr>
          <w:rFonts w:ascii="Arial Narrow" w:hAnsi="Arial Narrow"/>
          <w:sz w:val="24"/>
        </w:rPr>
        <w:t xml:space="preserve">will implement </w:t>
      </w:r>
      <w:r w:rsidR="00647998">
        <w:rPr>
          <w:rFonts w:ascii="Arial Narrow" w:hAnsi="Arial Narrow"/>
          <w:sz w:val="24"/>
        </w:rPr>
        <w:t>an energy efficiency retrofit program that</w:t>
      </w:r>
      <w:r w:rsidR="008A030C">
        <w:rPr>
          <w:rFonts w:ascii="Arial Narrow" w:hAnsi="Arial Narrow"/>
          <w:sz w:val="24"/>
        </w:rPr>
        <w:t xml:space="preserve"> reduces building EUIs by 30%- to </w:t>
      </w:r>
      <w:r w:rsidR="00647998">
        <w:rPr>
          <w:rFonts w:ascii="Arial Narrow" w:hAnsi="Arial Narrow"/>
          <w:sz w:val="24"/>
        </w:rPr>
        <w:t xml:space="preserve">50% in 2.5% of the building stock </w:t>
      </w:r>
      <w:r w:rsidR="008A030C">
        <w:rPr>
          <w:rFonts w:ascii="Arial Narrow" w:hAnsi="Arial Narrow"/>
          <w:sz w:val="24"/>
        </w:rPr>
        <w:t>per year</w:t>
      </w:r>
      <w:r w:rsidR="00647998">
        <w:rPr>
          <w:rFonts w:ascii="Arial Narrow" w:hAnsi="Arial Narrow"/>
          <w:sz w:val="24"/>
        </w:rPr>
        <w:t xml:space="preserve"> between 2017 and 2050.</w:t>
      </w:r>
    </w:p>
    <w:p w14:paraId="3A789D90" w14:textId="77777777" w:rsidR="00647998" w:rsidRPr="00E55C32" w:rsidRDefault="00647998" w:rsidP="00647998">
      <w:pPr>
        <w:jc w:val="both"/>
        <w:rPr>
          <w:rFonts w:ascii="Arial Narrow" w:hAnsi="Arial Narrow"/>
          <w:sz w:val="24"/>
        </w:rPr>
      </w:pPr>
      <w:r w:rsidRPr="00E55C32">
        <w:rPr>
          <w:rFonts w:ascii="Arial Narrow" w:hAnsi="Arial Narrow"/>
          <w:sz w:val="24"/>
        </w:rPr>
        <w:t xml:space="preserve">Key challenges in </w:t>
      </w:r>
      <w:r>
        <w:rPr>
          <w:rFonts w:ascii="Arial Narrow" w:hAnsi="Arial Narrow"/>
          <w:sz w:val="24"/>
        </w:rPr>
        <w:t xml:space="preserve">eliminating GHG emissions from </w:t>
      </w:r>
      <w:r w:rsidRPr="00E55C32">
        <w:rPr>
          <w:rFonts w:ascii="Arial Narrow" w:hAnsi="Arial Narrow"/>
          <w:sz w:val="24"/>
        </w:rPr>
        <w:t xml:space="preserve">the built stock will include: </w:t>
      </w:r>
    </w:p>
    <w:p w14:paraId="404178CD" w14:textId="77777777" w:rsidR="00647998" w:rsidRPr="00E55C32" w:rsidRDefault="00647998" w:rsidP="00647998">
      <w:pPr>
        <w:pStyle w:val="ListParagraph"/>
        <w:numPr>
          <w:ilvl w:val="0"/>
          <w:numId w:val="13"/>
        </w:numPr>
        <w:jc w:val="both"/>
        <w:rPr>
          <w:rFonts w:ascii="Arial Narrow" w:hAnsi="Arial Narrow"/>
          <w:sz w:val="24"/>
        </w:rPr>
      </w:pPr>
      <w:r w:rsidRPr="00E55C32">
        <w:rPr>
          <w:rFonts w:ascii="Arial Narrow" w:hAnsi="Arial Narrow"/>
          <w:sz w:val="24"/>
        </w:rPr>
        <w:t xml:space="preserve">The need to understand and identify explore opportunities to reduce energy use and emissions from both new and existing industrial buildings; </w:t>
      </w:r>
    </w:p>
    <w:p w14:paraId="2AC421FF" w14:textId="6807EA09" w:rsidR="00647998" w:rsidRPr="00E55C32" w:rsidRDefault="00647998" w:rsidP="00647998">
      <w:pPr>
        <w:pStyle w:val="ListParagraph"/>
        <w:numPr>
          <w:ilvl w:val="0"/>
          <w:numId w:val="13"/>
        </w:numPr>
        <w:jc w:val="both"/>
        <w:rPr>
          <w:rFonts w:ascii="Arial Narrow" w:hAnsi="Arial Narrow"/>
          <w:sz w:val="24"/>
        </w:rPr>
      </w:pPr>
      <w:r w:rsidRPr="00E55C32">
        <w:rPr>
          <w:rFonts w:ascii="Arial Narrow" w:hAnsi="Arial Narrow"/>
          <w:sz w:val="24"/>
        </w:rPr>
        <w:t xml:space="preserve">The achievement of the drop in EUIs as proposed under </w:t>
      </w:r>
      <w:r w:rsidR="00022434">
        <w:rPr>
          <w:rFonts w:ascii="Arial Narrow" w:hAnsi="Arial Narrow"/>
          <w:sz w:val="24"/>
        </w:rPr>
        <w:t>net zero energy</w:t>
      </w:r>
      <w:r w:rsidR="00022434" w:rsidRPr="00E55C32">
        <w:rPr>
          <w:rFonts w:ascii="Arial Narrow" w:hAnsi="Arial Narrow"/>
          <w:sz w:val="24"/>
        </w:rPr>
        <w:t xml:space="preserve"> </w:t>
      </w:r>
      <w:r w:rsidRPr="00E55C32">
        <w:rPr>
          <w:rFonts w:ascii="Arial Narrow" w:hAnsi="Arial Narrow"/>
          <w:sz w:val="24"/>
        </w:rPr>
        <w:t>code for new construction, and;</w:t>
      </w:r>
    </w:p>
    <w:p w14:paraId="4158FF17" w14:textId="59CAC24F" w:rsidR="00647998" w:rsidRDefault="00647998" w:rsidP="00647998">
      <w:pPr>
        <w:pStyle w:val="ListParagraph"/>
        <w:numPr>
          <w:ilvl w:val="0"/>
          <w:numId w:val="13"/>
        </w:numPr>
        <w:jc w:val="both"/>
        <w:rPr>
          <w:rFonts w:ascii="Arial Narrow" w:hAnsi="Arial Narrow"/>
          <w:sz w:val="24"/>
        </w:rPr>
      </w:pPr>
      <w:r w:rsidRPr="00E55C32">
        <w:rPr>
          <w:rFonts w:ascii="Arial Narrow" w:hAnsi="Arial Narrow"/>
          <w:sz w:val="24"/>
        </w:rPr>
        <w:t>The achievement of aggressive retrofit rates in existing buildings that target both energy efficiency and fossil fuel dependency, as well as the need to run an effective fuel switching retrofit program.</w:t>
      </w:r>
    </w:p>
    <w:p w14:paraId="63642DDC" w14:textId="0A093366" w:rsidR="00394C10" w:rsidRDefault="00394C10" w:rsidP="00022434">
      <w:pPr>
        <w:jc w:val="both"/>
        <w:rPr>
          <w:rFonts w:ascii="Arial Narrow" w:hAnsi="Arial Narrow"/>
          <w:sz w:val="24"/>
          <w:szCs w:val="24"/>
        </w:rPr>
      </w:pPr>
      <w:r>
        <w:rPr>
          <w:rFonts w:ascii="Arial Narrow" w:hAnsi="Arial Narrow"/>
          <w:sz w:val="24"/>
          <w:szCs w:val="24"/>
        </w:rPr>
        <w:t xml:space="preserve">Until the City has control over its building code, or the state government implements zero emission codes, </w:t>
      </w:r>
      <w:r w:rsidR="00022434" w:rsidRPr="00B67C60">
        <w:rPr>
          <w:rFonts w:ascii="Arial Narrow" w:hAnsi="Arial Narrow"/>
          <w:sz w:val="24"/>
          <w:szCs w:val="24"/>
        </w:rPr>
        <w:t xml:space="preserve">the City will need to take advantage of strategies and actions that provide support and build capacity to encourage buildings to shift from natural gas to electricity. </w:t>
      </w:r>
      <w:r w:rsidR="00022434">
        <w:rPr>
          <w:rFonts w:ascii="Arial Narrow" w:hAnsi="Arial Narrow"/>
          <w:sz w:val="24"/>
          <w:szCs w:val="24"/>
        </w:rPr>
        <w:t xml:space="preserve">This includes leveraging existing powers wherever possible. </w:t>
      </w:r>
      <w:r w:rsidR="00022434" w:rsidRPr="00B67C60">
        <w:rPr>
          <w:rFonts w:ascii="Arial Narrow" w:hAnsi="Arial Narrow"/>
          <w:sz w:val="24"/>
          <w:szCs w:val="24"/>
        </w:rPr>
        <w:t xml:space="preserve">Minneapolis’ cold climate will require that programs for both new construction and existing building retrofits focus on improving building envelope performance and raising required envelope R-values. </w:t>
      </w:r>
    </w:p>
    <w:p w14:paraId="7830CFF8" w14:textId="259B3125" w:rsidR="00022434" w:rsidRDefault="00D47CE7" w:rsidP="00022434">
      <w:pPr>
        <w:jc w:val="both"/>
        <w:rPr>
          <w:rFonts w:ascii="Arial Narrow" w:hAnsi="Arial Narrow"/>
          <w:b/>
          <w:sz w:val="24"/>
          <w:szCs w:val="24"/>
        </w:rPr>
      </w:pPr>
      <w:r>
        <w:rPr>
          <w:noProof/>
          <w:lang w:eastAsia="en-CA"/>
        </w:rPr>
        <mc:AlternateContent>
          <mc:Choice Requires="wps">
            <w:drawing>
              <wp:anchor distT="45720" distB="45720" distL="114300" distR="114300" simplePos="0" relativeHeight="251679744" behindDoc="0" locked="0" layoutInCell="1" allowOverlap="0" wp14:anchorId="4DB90F37" wp14:editId="758D43F3">
                <wp:simplePos x="0" y="0"/>
                <wp:positionH relativeFrom="margin">
                  <wp:align>center</wp:align>
                </wp:positionH>
                <wp:positionV relativeFrom="margin">
                  <wp:align>bottom</wp:align>
                </wp:positionV>
                <wp:extent cx="5943600" cy="2057400"/>
                <wp:effectExtent l="0" t="0" r="0"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2057400"/>
                        </a:xfrm>
                        <a:prstGeom prst="rect">
                          <a:avLst/>
                        </a:prstGeom>
                        <a:noFill/>
                        <a:ln w="9525">
                          <a:noFill/>
                          <a:miter lim="800000"/>
                          <a:headEnd/>
                          <a:tailEnd/>
                        </a:ln>
                      </wps:spPr>
                      <wps:txbx>
                        <w:txbxContent>
                          <w:tbl>
                            <w:tblPr>
                              <w:tblStyle w:val="GridTable4-Accent61"/>
                              <w:tblW w:w="0" w:type="auto"/>
                              <w:tblLook w:val="04A0" w:firstRow="1" w:lastRow="0" w:firstColumn="1" w:lastColumn="0" w:noHBand="0" w:noVBand="1"/>
                            </w:tblPr>
                            <w:tblGrid>
                              <w:gridCol w:w="9222"/>
                            </w:tblGrid>
                            <w:tr w:rsidR="00D64CDD" w14:paraId="56AD799C" w14:textId="77777777" w:rsidTr="00394C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74E37FDF" w14:textId="77777777" w:rsidR="00D64CDD" w:rsidRDefault="00D64CDD" w:rsidP="00394C10">
                                  <w:pPr>
                                    <w:rPr>
                                      <w:rFonts w:ascii="Arial Narrow" w:hAnsi="Arial Narrow"/>
                                      <w:sz w:val="24"/>
                                      <w:szCs w:val="24"/>
                                    </w:rPr>
                                  </w:pPr>
                                  <w:r>
                                    <w:rPr>
                                      <w:rFonts w:ascii="Arial Narrow" w:hAnsi="Arial Narrow"/>
                                      <w:sz w:val="24"/>
                                      <w:szCs w:val="24"/>
                                    </w:rPr>
                                    <w:t>Example: Retrofit Programs</w:t>
                                  </w:r>
                                </w:p>
                              </w:tc>
                            </w:tr>
                            <w:tr w:rsidR="00D64CDD" w14:paraId="5F06D2E9" w14:textId="77777777"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581F2937" w14:textId="77777777" w:rsidR="00D64CDD" w:rsidRPr="00916AA4" w:rsidRDefault="00D64CDD" w:rsidP="00394C10">
                                  <w:pPr>
                                    <w:ind w:left="29"/>
                                    <w:rPr>
                                      <w:rFonts w:ascii="Arial Narrow" w:hAnsi="Arial Narrow"/>
                                      <w:b w:val="0"/>
                                      <w:sz w:val="24"/>
                                      <w:szCs w:val="24"/>
                                    </w:rPr>
                                  </w:pPr>
                                  <w:r w:rsidRPr="00916AA4">
                                    <w:rPr>
                                      <w:rFonts w:ascii="Arial Narrow" w:hAnsi="Arial Narrow"/>
                                      <w:b w:val="0"/>
                                      <w:sz w:val="24"/>
                                      <w:szCs w:val="24"/>
                                    </w:rPr>
                                    <w:t>Energiesprong is a</w:t>
                                  </w:r>
                                  <w:r>
                                    <w:rPr>
                                      <w:rFonts w:ascii="Arial Narrow" w:hAnsi="Arial Narrow"/>
                                      <w:b w:val="0"/>
                                      <w:sz w:val="24"/>
                                      <w:szCs w:val="24"/>
                                    </w:rPr>
                                    <w:t xml:space="preserve"> program with its roots in the N</w:t>
                                  </w:r>
                                  <w:r w:rsidRPr="00916AA4">
                                    <w:rPr>
                                      <w:rFonts w:ascii="Arial Narrow" w:hAnsi="Arial Narrow"/>
                                      <w:b w:val="0"/>
                                      <w:sz w:val="24"/>
                                      <w:szCs w:val="24"/>
                                    </w:rPr>
                                    <w:t xml:space="preserve">etherlands that aggregates demand to deliver net-zero energy retrofit packages to existing social housing. The program organizes homeowners, contractors, and housing associations to provide a fully integrated platform – renovations can be completed in under a week and homeowners pay a monthly fee similar to their previous energy utility bill – all while eliminating home-sourced emissions, providing a return on investment, as well as a long term (30+ years) energy performance guarantee. </w:t>
                                  </w:r>
                                </w:p>
                                <w:p w14:paraId="3E7D1120" w14:textId="77777777" w:rsidR="00D64CDD" w:rsidRPr="00C22F21" w:rsidRDefault="00D64CDD" w:rsidP="00394C10">
                                  <w:pPr>
                                    <w:spacing w:before="240"/>
                                    <w:ind w:left="29"/>
                                    <w:rPr>
                                      <w:rFonts w:ascii="Arial Narrow" w:hAnsi="Arial Narrow"/>
                                      <w:b w:val="0"/>
                                      <w:sz w:val="24"/>
                                      <w:szCs w:val="24"/>
                                    </w:rPr>
                                  </w:pPr>
                                  <w:r w:rsidRPr="00916AA4">
                                    <w:rPr>
                                      <w:rFonts w:ascii="Arial Narrow" w:hAnsi="Arial Narrow"/>
                                      <w:b w:val="0"/>
                                      <w:sz w:val="24"/>
                                      <w:szCs w:val="24"/>
                                    </w:rPr>
                                    <w:t xml:space="preserve">The </w:t>
                                  </w:r>
                                  <w:r>
                                    <w:rPr>
                                      <w:rFonts w:ascii="Arial Narrow" w:hAnsi="Arial Narrow"/>
                                      <w:b w:val="0"/>
                                      <w:sz w:val="24"/>
                                      <w:szCs w:val="24"/>
                                    </w:rPr>
                                    <w:t xml:space="preserve">New York City </w:t>
                                  </w:r>
                                  <w:r w:rsidRPr="00916AA4">
                                    <w:rPr>
                                      <w:rFonts w:ascii="Arial Narrow" w:hAnsi="Arial Narrow"/>
                                      <w:b w:val="0"/>
                                      <w:sz w:val="24"/>
                                      <w:szCs w:val="24"/>
                                    </w:rPr>
                                    <w:t>retrofit accelerator is another exemplar program that offers independent, customized technical assistant and advisory services at no charge to building owners to help facilitate the process of energy and water efficiency upgrades.</w:t>
                                  </w:r>
                                </w:p>
                              </w:tc>
                            </w:tr>
                          </w:tbl>
                          <w:p w14:paraId="23D63021" w14:textId="77777777" w:rsidR="00D64CDD" w:rsidRDefault="00D64CDD" w:rsidP="00D47CE7"/>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DB90F37" id="_x0000_s1029" type="#_x0000_t202" style="position:absolute;left:0;text-align:left;margin-left:0;margin-top:0;width:468pt;height:162pt;z-index:251679744;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" o:allowoverlap="f" filled="f" stroked="f">
                <v:textbox inset="1mm,1mm,1mm,1mm">
                  <w:txbxContent>
                    <w:tbl>
                      <w:tblPr>
                        <w:tblStyle w:val="GridTable4-Accent61"/>
                        <w:tblW w:w="0" w:type="auto"/>
                        <w:tblLook w:val="04A0" w:firstRow="1" w:lastRow="0" w:firstColumn="1" w:lastColumn="0" w:noHBand="0" w:noVBand="1"/>
                      </w:tblPr>
                      <w:tblGrid>
                        <w:gridCol w:w="9222"/>
                      </w:tblGrid>
                      <w:tr w:rsidR="00D64CDD" w14:paraId="56AD799C" w14:textId="77777777" w:rsidTr="00394C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74E37FDF" w14:textId="77777777" w:rsidR="00D64CDD" w:rsidRDefault="00D64CDD" w:rsidP="00394C10">
                            <w:pPr>
                              <w:rPr>
                                <w:rFonts w:ascii="Arial Narrow" w:hAnsi="Arial Narrow"/>
                                <w:sz w:val="24"/>
                                <w:szCs w:val="24"/>
                              </w:rPr>
                            </w:pPr>
                            <w:r>
                              <w:rPr>
                                <w:rFonts w:ascii="Arial Narrow" w:hAnsi="Arial Narrow"/>
                                <w:sz w:val="24"/>
                                <w:szCs w:val="24"/>
                              </w:rPr>
                              <w:t>Example: Retrofit Programs</w:t>
                            </w:r>
                          </w:p>
                        </w:tc>
                      </w:tr>
                      <w:tr w:rsidR="00D64CDD" w14:paraId="5F06D2E9" w14:textId="77777777"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581F2937" w14:textId="77777777" w:rsidR="00D64CDD" w:rsidRPr="00916AA4" w:rsidRDefault="00D64CDD" w:rsidP="00394C10">
                            <w:pPr>
                              <w:ind w:left="29"/>
                              <w:rPr>
                                <w:rFonts w:ascii="Arial Narrow" w:hAnsi="Arial Narrow"/>
                                <w:b w:val="0"/>
                                <w:sz w:val="24"/>
                                <w:szCs w:val="24"/>
                              </w:rPr>
                            </w:pPr>
                            <w:r w:rsidRPr="00916AA4">
                              <w:rPr>
                                <w:rFonts w:ascii="Arial Narrow" w:hAnsi="Arial Narrow"/>
                                <w:b w:val="0"/>
                                <w:sz w:val="24"/>
                                <w:szCs w:val="24"/>
                              </w:rPr>
                              <w:t>Energiesprong is a</w:t>
                            </w:r>
                            <w:r>
                              <w:rPr>
                                <w:rFonts w:ascii="Arial Narrow" w:hAnsi="Arial Narrow"/>
                                <w:b w:val="0"/>
                                <w:sz w:val="24"/>
                                <w:szCs w:val="24"/>
                              </w:rPr>
                              <w:t xml:space="preserve"> program with its roots in the N</w:t>
                            </w:r>
                            <w:r w:rsidRPr="00916AA4">
                              <w:rPr>
                                <w:rFonts w:ascii="Arial Narrow" w:hAnsi="Arial Narrow"/>
                                <w:b w:val="0"/>
                                <w:sz w:val="24"/>
                                <w:szCs w:val="24"/>
                              </w:rPr>
                              <w:t xml:space="preserve">etherlands that aggregates demand to deliver net-zero energy retrofit packages to existing social housing. The program organizes homeowners, contractors, and housing associations to provide a fully integrated platform – renovations can be completed in under a week and homeowners pay a monthly fee similar to their previous energy utility bill – all while eliminating home-sourced emissions, providing a return on investment, as well as a long term (30+ years) energy performance guarantee. </w:t>
                            </w:r>
                          </w:p>
                          <w:p w14:paraId="3E7D1120" w14:textId="77777777" w:rsidR="00D64CDD" w:rsidRPr="00C22F21" w:rsidRDefault="00D64CDD" w:rsidP="00394C10">
                            <w:pPr>
                              <w:spacing w:before="240"/>
                              <w:ind w:left="29"/>
                              <w:rPr>
                                <w:rFonts w:ascii="Arial Narrow" w:hAnsi="Arial Narrow"/>
                                <w:b w:val="0"/>
                                <w:sz w:val="24"/>
                                <w:szCs w:val="24"/>
                              </w:rPr>
                            </w:pPr>
                            <w:r w:rsidRPr="00916AA4">
                              <w:rPr>
                                <w:rFonts w:ascii="Arial Narrow" w:hAnsi="Arial Narrow"/>
                                <w:b w:val="0"/>
                                <w:sz w:val="24"/>
                                <w:szCs w:val="24"/>
                              </w:rPr>
                              <w:t xml:space="preserve">The </w:t>
                            </w:r>
                            <w:r>
                              <w:rPr>
                                <w:rFonts w:ascii="Arial Narrow" w:hAnsi="Arial Narrow"/>
                                <w:b w:val="0"/>
                                <w:sz w:val="24"/>
                                <w:szCs w:val="24"/>
                              </w:rPr>
                              <w:t xml:space="preserve">New York City </w:t>
                            </w:r>
                            <w:r w:rsidRPr="00916AA4">
                              <w:rPr>
                                <w:rFonts w:ascii="Arial Narrow" w:hAnsi="Arial Narrow"/>
                                <w:b w:val="0"/>
                                <w:sz w:val="24"/>
                                <w:szCs w:val="24"/>
                              </w:rPr>
                              <w:t>retrofit accelerator is another exemplar program that offers independent, customized technical assistant and advisory services at no charge to building owners to help facilitate the process of energy and water efficiency upgrades.</w:t>
                            </w:r>
                          </w:p>
                        </w:tc>
                      </w:tr>
                    </w:tbl>
                    <w:p w14:paraId="23D63021" w14:textId="77777777" w:rsidR="00D64CDD" w:rsidRDefault="00D64CDD" w:rsidP="00D47CE7"/>
                  </w:txbxContent>
                </v:textbox>
                <w10:wrap type="square" anchorx="margin" anchory="margin"/>
              </v:shape>
            </w:pict>
          </mc:Fallback>
        </mc:AlternateContent>
      </w:r>
      <w:r w:rsidR="00394C10">
        <w:rPr>
          <w:rFonts w:ascii="Arial Narrow" w:hAnsi="Arial Narrow"/>
          <w:sz w:val="24"/>
          <w:szCs w:val="24"/>
        </w:rPr>
        <w:t xml:space="preserve">The Playbook offers several </w:t>
      </w:r>
      <w:r w:rsidR="00022434">
        <w:rPr>
          <w:rFonts w:ascii="Arial Narrow" w:hAnsi="Arial Narrow"/>
          <w:sz w:val="24"/>
          <w:szCs w:val="24"/>
        </w:rPr>
        <w:t xml:space="preserve">strategies and actions </w:t>
      </w:r>
      <w:r w:rsidR="00394C10">
        <w:rPr>
          <w:rFonts w:ascii="Arial Narrow" w:hAnsi="Arial Narrow"/>
          <w:sz w:val="24"/>
          <w:szCs w:val="24"/>
        </w:rPr>
        <w:t>the City can pursue to reduce emissions from buildings while lobbying for zero emission building codes and developing a scalable fuel switching retrofit program.</w:t>
      </w:r>
    </w:p>
    <w:p w14:paraId="03A749BE" w14:textId="5CAD84CF" w:rsidR="00022434" w:rsidRPr="00B67C60" w:rsidRDefault="00022434" w:rsidP="00022434">
      <w:pPr>
        <w:rPr>
          <w:rFonts w:ascii="Arial Narrow" w:hAnsi="Arial Narrow"/>
          <w:b/>
          <w:sz w:val="24"/>
          <w:szCs w:val="24"/>
          <w:highlight w:val="yellow"/>
        </w:rPr>
      </w:pPr>
      <w:r w:rsidRPr="00B67C60">
        <w:rPr>
          <w:rFonts w:ascii="Arial Narrow" w:hAnsi="Arial Narrow"/>
          <w:b/>
          <w:sz w:val="24"/>
          <w:szCs w:val="24"/>
        </w:rPr>
        <w:t>B.4 – Provide financial incentives</w:t>
      </w:r>
    </w:p>
    <w:p w14:paraId="43C4C02F" w14:textId="61104C08" w:rsidR="00022434" w:rsidRPr="00B67C60" w:rsidRDefault="007A0077" w:rsidP="00022434">
      <w:pPr>
        <w:ind w:left="284"/>
        <w:rPr>
          <w:rFonts w:ascii="Arial Narrow" w:hAnsi="Arial Narrow"/>
          <w:sz w:val="24"/>
          <w:szCs w:val="24"/>
        </w:rPr>
      </w:pPr>
      <w:r w:rsidRPr="007A0077">
        <w:rPr>
          <w:rFonts w:ascii="Arial Narrow" w:hAnsi="Arial Narrow"/>
          <w:noProof/>
          <w:sz w:val="24"/>
          <w:szCs w:val="24"/>
          <w:lang w:eastAsia="en-CA"/>
        </w:rPr>
        <w:t>B.4.1. Offer financial incentives to increase adoption of specific, strategically important technologies (e.g. to enable decarbonization)</w:t>
      </w:r>
    </w:p>
    <w:p w14:paraId="6E0DB3D2" w14:textId="1894ADA2" w:rsidR="00022434" w:rsidRPr="00B67C60" w:rsidRDefault="00022434" w:rsidP="00022434">
      <w:pPr>
        <w:rPr>
          <w:rFonts w:ascii="Arial Narrow" w:hAnsi="Arial Narrow"/>
          <w:b/>
          <w:sz w:val="24"/>
          <w:szCs w:val="24"/>
        </w:rPr>
      </w:pPr>
      <w:r w:rsidRPr="00B67C60">
        <w:rPr>
          <w:rFonts w:ascii="Arial Narrow" w:hAnsi="Arial Narrow"/>
          <w:b/>
          <w:sz w:val="24"/>
          <w:szCs w:val="24"/>
        </w:rPr>
        <w:t xml:space="preserve">B.6 – Support/provide rewards for performance </w:t>
      </w:r>
    </w:p>
    <w:p w14:paraId="43A07273" w14:textId="71ADCE87" w:rsidR="007A0077" w:rsidRPr="007A0077" w:rsidRDefault="007A0077" w:rsidP="00394C10">
      <w:pPr>
        <w:ind w:left="284"/>
        <w:rPr>
          <w:rFonts w:ascii="Arial Narrow" w:hAnsi="Arial Narrow"/>
          <w:sz w:val="24"/>
          <w:szCs w:val="24"/>
        </w:rPr>
      </w:pPr>
      <w:r w:rsidRPr="007A0077">
        <w:rPr>
          <w:rFonts w:ascii="Arial Narrow" w:hAnsi="Arial Narrow"/>
          <w:sz w:val="24"/>
          <w:szCs w:val="24"/>
        </w:rPr>
        <w:t xml:space="preserve">B.6.1. Provide regulatory and </w:t>
      </w:r>
      <w:r w:rsidRPr="007A0077">
        <w:rPr>
          <w:rFonts w:ascii="Arial Narrow" w:hAnsi="Arial Narrow"/>
          <w:noProof/>
          <w:sz w:val="24"/>
          <w:szCs w:val="24"/>
          <w:lang w:eastAsia="en-CA"/>
        </w:rPr>
        <w:t>zoning</w:t>
      </w:r>
      <w:r w:rsidRPr="007A0077">
        <w:rPr>
          <w:rFonts w:ascii="Arial Narrow" w:hAnsi="Arial Narrow"/>
          <w:sz w:val="24"/>
          <w:szCs w:val="24"/>
        </w:rPr>
        <w:t xml:space="preserve"> relief (e.g. increased FAR, accelerated permitting) for projects meeting certifiable high standards (e.g. LEED)</w:t>
      </w:r>
    </w:p>
    <w:p w14:paraId="06035135" w14:textId="29E03952" w:rsidR="007A0077" w:rsidRDefault="007A0077" w:rsidP="00394C10">
      <w:pPr>
        <w:ind w:left="284"/>
        <w:rPr>
          <w:rFonts w:ascii="Arial Narrow" w:hAnsi="Arial Narrow"/>
          <w:sz w:val="24"/>
          <w:szCs w:val="24"/>
        </w:rPr>
      </w:pPr>
      <w:r w:rsidRPr="007A0077">
        <w:rPr>
          <w:rFonts w:ascii="Arial Narrow" w:hAnsi="Arial Narrow"/>
          <w:sz w:val="24"/>
          <w:szCs w:val="24"/>
        </w:rPr>
        <w:t xml:space="preserve">B.6.2. Promote supportive </w:t>
      </w:r>
      <w:r w:rsidRPr="007A0077">
        <w:rPr>
          <w:rFonts w:ascii="Arial Narrow" w:hAnsi="Arial Narrow"/>
          <w:noProof/>
          <w:sz w:val="24"/>
          <w:szCs w:val="24"/>
          <w:lang w:eastAsia="en-CA"/>
        </w:rPr>
        <w:t>market</w:t>
      </w:r>
      <w:r w:rsidRPr="007A0077">
        <w:rPr>
          <w:rFonts w:ascii="Arial Narrow" w:hAnsi="Arial Narrow"/>
          <w:sz w:val="24"/>
          <w:szCs w:val="24"/>
        </w:rPr>
        <w:t xml:space="preserve"> mechanisms such as building appraisal and mortgage underwriting that capture the value of investments in energy efficiency</w:t>
      </w:r>
    </w:p>
    <w:p w14:paraId="1A7B7C65" w14:textId="4BADD26B" w:rsidR="00022434" w:rsidRPr="00262A2F" w:rsidRDefault="00022434" w:rsidP="00022434">
      <w:pPr>
        <w:rPr>
          <w:rFonts w:ascii="Arial Narrow" w:hAnsi="Arial Narrow"/>
          <w:sz w:val="24"/>
          <w:szCs w:val="24"/>
        </w:rPr>
      </w:pPr>
      <w:r w:rsidRPr="00B67C60">
        <w:rPr>
          <w:rFonts w:ascii="Arial Narrow" w:hAnsi="Arial Narrow"/>
          <w:b/>
          <w:sz w:val="24"/>
          <w:szCs w:val="24"/>
        </w:rPr>
        <w:t>B.7 – Subsidize capacity improvements for building management</w:t>
      </w:r>
      <w:r w:rsidR="00A80CE7" w:rsidRPr="00A80CE7">
        <w:rPr>
          <w:rFonts w:ascii="Arial Narrow" w:hAnsi="Arial Narrow"/>
          <w:noProof/>
          <w:sz w:val="24"/>
          <w:szCs w:val="24"/>
          <w:lang w:eastAsia="en-CA"/>
        </w:rPr>
        <w:t xml:space="preserve"> </w:t>
      </w:r>
    </w:p>
    <w:p w14:paraId="02536D10" w14:textId="33EDA28F" w:rsidR="007A0077" w:rsidRPr="007A0077" w:rsidRDefault="007A0077" w:rsidP="00394C10">
      <w:pPr>
        <w:ind w:left="284"/>
        <w:rPr>
          <w:rFonts w:ascii="Arial Narrow" w:hAnsi="Arial Narrow"/>
          <w:sz w:val="24"/>
          <w:szCs w:val="24"/>
        </w:rPr>
      </w:pPr>
      <w:r w:rsidRPr="007A0077">
        <w:rPr>
          <w:rFonts w:ascii="Arial Narrow" w:hAnsi="Arial Narrow"/>
          <w:sz w:val="24"/>
          <w:szCs w:val="24"/>
        </w:rPr>
        <w:t xml:space="preserve">B.7.1. Support efforts to train </w:t>
      </w:r>
      <w:r>
        <w:rPr>
          <w:rFonts w:ascii="Arial Narrow" w:hAnsi="Arial Narrow"/>
          <w:sz w:val="24"/>
          <w:szCs w:val="24"/>
        </w:rPr>
        <w:t>building operators in energy ef</w:t>
      </w:r>
      <w:r w:rsidRPr="007A0077">
        <w:rPr>
          <w:rFonts w:ascii="Arial Narrow" w:hAnsi="Arial Narrow"/>
          <w:sz w:val="24"/>
          <w:szCs w:val="24"/>
        </w:rPr>
        <w:t xml:space="preserve">ficiency best practices </w:t>
      </w:r>
    </w:p>
    <w:p w14:paraId="10EFCC3A" w14:textId="05ADF1D1" w:rsidR="00022434" w:rsidRDefault="007A0077" w:rsidP="00022434">
      <w:pPr>
        <w:ind w:left="284"/>
        <w:rPr>
          <w:rFonts w:ascii="Arial Narrow" w:hAnsi="Arial Narrow"/>
          <w:sz w:val="24"/>
          <w:szCs w:val="24"/>
        </w:rPr>
      </w:pPr>
      <w:r w:rsidRPr="007A0077">
        <w:rPr>
          <w:rFonts w:ascii="Arial Narrow" w:hAnsi="Arial Narrow"/>
          <w:sz w:val="24"/>
          <w:szCs w:val="24"/>
        </w:rPr>
        <w:t xml:space="preserve">B.7.2. Invest in the sustainable buildings sector to improve the capacity of local or regional industry members to market, install, and maintain the technologies necessary for decarbonization </w:t>
      </w:r>
    </w:p>
    <w:p w14:paraId="5A7A7934" w14:textId="3E2FCC06" w:rsidR="00022434" w:rsidRPr="007F2379" w:rsidRDefault="00022434" w:rsidP="00022434">
      <w:pPr>
        <w:rPr>
          <w:rFonts w:ascii="Arial Narrow" w:hAnsi="Arial Narrow"/>
          <w:sz w:val="24"/>
          <w:szCs w:val="24"/>
        </w:rPr>
      </w:pPr>
      <w:r w:rsidRPr="00B67C60">
        <w:rPr>
          <w:rFonts w:ascii="Arial Narrow" w:hAnsi="Arial Narrow"/>
          <w:b/>
          <w:sz w:val="24"/>
          <w:szCs w:val="24"/>
        </w:rPr>
        <w:t>B.8 – Expand capacity of efficient heating and cooling</w:t>
      </w:r>
    </w:p>
    <w:p w14:paraId="45D4B570" w14:textId="77777777" w:rsidR="004F0152" w:rsidRDefault="007A0077" w:rsidP="00022434">
      <w:pPr>
        <w:ind w:left="284"/>
        <w:rPr>
          <w:rFonts w:ascii="Arial Narrow" w:hAnsi="Arial Narrow"/>
          <w:sz w:val="24"/>
          <w:szCs w:val="24"/>
        </w:rPr>
      </w:pPr>
      <w:r w:rsidRPr="007A0077">
        <w:rPr>
          <w:rFonts w:ascii="Arial Narrow" w:hAnsi="Arial Narrow"/>
          <w:sz w:val="24"/>
          <w:szCs w:val="24"/>
        </w:rPr>
        <w:t>B.8.1. Develop and expand energy sharing networks for low- to zero-emission thermal energy systems</w:t>
      </w:r>
      <w:r w:rsidRPr="007A0077" w:rsidDel="007A0077">
        <w:rPr>
          <w:rFonts w:ascii="Arial Narrow" w:hAnsi="Arial Narrow"/>
          <w:sz w:val="24"/>
          <w:szCs w:val="24"/>
        </w:rPr>
        <w:t xml:space="preserve"> </w:t>
      </w:r>
    </w:p>
    <w:p w14:paraId="113115DE" w14:textId="77777777" w:rsidR="004F0152" w:rsidRDefault="004F0152" w:rsidP="00394C10">
      <w:pPr>
        <w:rPr>
          <w:rFonts w:ascii="Arial Narrow" w:hAnsi="Arial Narrow"/>
          <w:b/>
          <w:sz w:val="24"/>
          <w:szCs w:val="24"/>
        </w:rPr>
      </w:pPr>
      <w:r w:rsidRPr="00394C10">
        <w:rPr>
          <w:rFonts w:ascii="Arial Narrow" w:hAnsi="Arial Narrow"/>
          <w:b/>
          <w:sz w:val="24"/>
          <w:szCs w:val="24"/>
        </w:rPr>
        <w:t>B.9. Investigate options to decarbonize more challenging building systems</w:t>
      </w:r>
      <w:r w:rsidRPr="00394C10" w:rsidDel="007A0077">
        <w:rPr>
          <w:rFonts w:ascii="Arial Narrow" w:hAnsi="Arial Narrow"/>
          <w:b/>
          <w:sz w:val="24"/>
          <w:szCs w:val="24"/>
        </w:rPr>
        <w:t xml:space="preserve"> </w:t>
      </w:r>
    </w:p>
    <w:p w14:paraId="2C652DE8" w14:textId="77777777" w:rsidR="004F0152" w:rsidRPr="004F0152" w:rsidRDefault="004F0152" w:rsidP="00394C10">
      <w:pPr>
        <w:ind w:left="284"/>
        <w:rPr>
          <w:rFonts w:ascii="Arial Narrow" w:hAnsi="Arial Narrow"/>
          <w:sz w:val="24"/>
          <w:szCs w:val="24"/>
        </w:rPr>
      </w:pPr>
      <w:r w:rsidRPr="004F0152">
        <w:rPr>
          <w:rFonts w:ascii="Arial Narrow" w:hAnsi="Arial Narrow"/>
          <w:sz w:val="24"/>
          <w:szCs w:val="24"/>
        </w:rPr>
        <w:t>B.9.1. Conduct a study to evaluate options to decarbonize thermal energy systems in buildings (both air and water)</w:t>
      </w:r>
    </w:p>
    <w:p w14:paraId="27889935" w14:textId="7D228151" w:rsidR="00022434" w:rsidRPr="004F0152" w:rsidRDefault="004F0152">
      <w:pPr>
        <w:ind w:left="284"/>
        <w:rPr>
          <w:rFonts w:ascii="Arial Narrow" w:hAnsi="Arial Narrow"/>
          <w:sz w:val="24"/>
          <w:szCs w:val="24"/>
        </w:rPr>
      </w:pPr>
      <w:r w:rsidRPr="004F0152">
        <w:rPr>
          <w:rFonts w:ascii="Arial Narrow" w:hAnsi="Arial Narrow"/>
          <w:sz w:val="24"/>
          <w:szCs w:val="24"/>
        </w:rPr>
        <w:t>B.9.2. Identify where industrial processes depend on fossil fuels and investigate options for decarbonization or deep GHG reductions</w:t>
      </w:r>
    </w:p>
    <w:p w14:paraId="578F17A6" w14:textId="350DE867" w:rsidR="00F645A9" w:rsidRDefault="00394C10" w:rsidP="00394C10">
      <w:pPr>
        <w:rPr>
          <w:rFonts w:ascii="Arial Narrow" w:hAnsi="Arial Narrow"/>
          <w:sz w:val="24"/>
          <w:szCs w:val="24"/>
        </w:rPr>
      </w:pPr>
      <w:r>
        <w:rPr>
          <w:rFonts w:ascii="Arial Narrow" w:hAnsi="Arial Narrow"/>
          <w:sz w:val="24"/>
          <w:szCs w:val="24"/>
        </w:rPr>
        <w:fldChar w:fldCharType="begin"/>
      </w:r>
      <w:r>
        <w:rPr>
          <w:rFonts w:ascii="Arial Narrow" w:hAnsi="Arial Narrow"/>
          <w:sz w:val="24"/>
          <w:szCs w:val="24"/>
        </w:rPr>
        <w:instrText xml:space="preserve"> REF _Ref459825480 \h </w:instrText>
      </w:r>
      <w:r>
        <w:rPr>
          <w:rFonts w:ascii="Arial Narrow" w:hAnsi="Arial Narrow"/>
          <w:sz w:val="24"/>
          <w:szCs w:val="24"/>
        </w:rPr>
      </w:r>
      <w:r>
        <w:rPr>
          <w:rFonts w:ascii="Arial Narrow" w:hAnsi="Arial Narrow"/>
          <w:sz w:val="24"/>
          <w:szCs w:val="24"/>
        </w:rPr>
        <w:fldChar w:fldCharType="separate"/>
      </w:r>
      <w:r w:rsidR="00394D4A" w:rsidRPr="00B93DF1">
        <w:rPr>
          <w:rFonts w:ascii="Arial Narrow" w:hAnsi="Arial Narrow"/>
          <w:sz w:val="24"/>
          <w:szCs w:val="24"/>
        </w:rPr>
        <w:t xml:space="preserve">Box </w:t>
      </w:r>
      <w:r w:rsidR="00394D4A">
        <w:rPr>
          <w:rFonts w:ascii="Arial Narrow" w:hAnsi="Arial Narrow"/>
          <w:noProof/>
          <w:sz w:val="24"/>
          <w:szCs w:val="24"/>
        </w:rPr>
        <w:t>2</w:t>
      </w:r>
      <w:r>
        <w:rPr>
          <w:rFonts w:ascii="Arial Narrow" w:hAnsi="Arial Narrow"/>
          <w:sz w:val="24"/>
          <w:szCs w:val="24"/>
        </w:rPr>
        <w:fldChar w:fldCharType="end"/>
      </w:r>
      <w:r>
        <w:rPr>
          <w:rFonts w:ascii="Arial Narrow" w:hAnsi="Arial Narrow"/>
          <w:sz w:val="24"/>
          <w:szCs w:val="24"/>
        </w:rPr>
        <w:t xml:space="preserve"> lists other actions the City could consider to support its building priorities.</w:t>
      </w:r>
      <w:r w:rsidR="00A76E6F">
        <w:rPr>
          <w:rFonts w:ascii="Arial Narrow" w:hAnsi="Arial Narrow"/>
          <w:sz w:val="24"/>
          <w:szCs w:val="24"/>
        </w:rPr>
        <w:t xml:space="preserve"> </w:t>
      </w:r>
      <w:r w:rsidR="00A76E6F" w:rsidRPr="00A76E6F">
        <w:rPr>
          <w:rFonts w:ascii="Arial Narrow" w:hAnsi="Arial Narrow"/>
          <w:sz w:val="24"/>
          <w:szCs w:val="24"/>
        </w:rPr>
        <w:t xml:space="preserve">Action numbers (e.g. </w:t>
      </w:r>
      <w:r w:rsidR="00A76E6F">
        <w:rPr>
          <w:rFonts w:ascii="Arial Narrow" w:hAnsi="Arial Narrow"/>
          <w:sz w:val="24"/>
          <w:szCs w:val="24"/>
        </w:rPr>
        <w:t>B.1</w:t>
      </w:r>
      <w:r w:rsidR="00A76E6F" w:rsidRPr="00A76E6F">
        <w:rPr>
          <w:rFonts w:ascii="Arial Narrow" w:hAnsi="Arial Narrow"/>
          <w:sz w:val="24"/>
          <w:szCs w:val="24"/>
        </w:rPr>
        <w:t>.1) correspond to the strategies and actions table found in the Appendix of the Playbook.</w:t>
      </w:r>
    </w:p>
    <w:tbl>
      <w:tblPr>
        <w:tblStyle w:val="GridTable4-Accent61"/>
        <w:tblW w:w="0" w:type="auto"/>
        <w:tblLook w:val="04A0" w:firstRow="1" w:lastRow="0" w:firstColumn="1" w:lastColumn="0" w:noHBand="0" w:noVBand="1"/>
      </w:tblPr>
      <w:tblGrid>
        <w:gridCol w:w="9350"/>
      </w:tblGrid>
      <w:tr w:rsidR="007E22B5" w14:paraId="63862442" w14:textId="77777777" w:rsidTr="00394C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4BE67793" w14:textId="73A518BB" w:rsidR="007E22B5" w:rsidRDefault="007E22B5">
            <w:pPr>
              <w:rPr>
                <w:rFonts w:ascii="Arial Narrow" w:hAnsi="Arial Narrow"/>
                <w:sz w:val="24"/>
                <w:szCs w:val="24"/>
              </w:rPr>
            </w:pPr>
            <w:bookmarkStart w:id="25" w:name="_Ref459825480"/>
            <w:r w:rsidRPr="00B93DF1">
              <w:rPr>
                <w:rFonts w:ascii="Arial Narrow" w:hAnsi="Arial Narrow"/>
                <w:sz w:val="24"/>
                <w:szCs w:val="24"/>
              </w:rPr>
              <w:t xml:space="preserve">Box </w:t>
            </w:r>
            <w:r w:rsidRPr="00B93DF1">
              <w:rPr>
                <w:rFonts w:ascii="Arial Narrow" w:hAnsi="Arial Narrow"/>
                <w:sz w:val="24"/>
                <w:szCs w:val="24"/>
              </w:rPr>
              <w:fldChar w:fldCharType="begin"/>
            </w:r>
            <w:r w:rsidRPr="00B93DF1">
              <w:rPr>
                <w:rFonts w:ascii="Arial Narrow" w:hAnsi="Arial Narrow"/>
                <w:sz w:val="24"/>
                <w:szCs w:val="24"/>
              </w:rPr>
              <w:instrText xml:space="preserve"> SEQ Box \* ARABIC </w:instrText>
            </w:r>
            <w:r w:rsidRPr="00B93DF1">
              <w:rPr>
                <w:rFonts w:ascii="Arial Narrow" w:hAnsi="Arial Narrow"/>
                <w:sz w:val="24"/>
                <w:szCs w:val="24"/>
              </w:rPr>
              <w:fldChar w:fldCharType="separate"/>
            </w:r>
            <w:r w:rsidR="00394D4A">
              <w:rPr>
                <w:rFonts w:ascii="Arial Narrow" w:hAnsi="Arial Narrow"/>
                <w:noProof/>
                <w:sz w:val="24"/>
                <w:szCs w:val="24"/>
              </w:rPr>
              <w:t>2</w:t>
            </w:r>
            <w:r w:rsidRPr="00B93DF1">
              <w:rPr>
                <w:rFonts w:ascii="Arial Narrow" w:hAnsi="Arial Narrow"/>
                <w:sz w:val="24"/>
                <w:szCs w:val="24"/>
              </w:rPr>
              <w:fldChar w:fldCharType="end"/>
            </w:r>
            <w:bookmarkEnd w:id="25"/>
            <w:r w:rsidRPr="00B93DF1">
              <w:rPr>
                <w:rFonts w:ascii="Arial Narrow" w:hAnsi="Arial Narrow"/>
                <w:sz w:val="24"/>
                <w:szCs w:val="24"/>
              </w:rPr>
              <w:t xml:space="preserve"> </w:t>
            </w:r>
            <w:r>
              <w:rPr>
                <w:rFonts w:ascii="Arial Narrow" w:hAnsi="Arial Narrow"/>
                <w:sz w:val="24"/>
                <w:szCs w:val="24"/>
              </w:rPr>
              <w:t>Other Relevant Building Actions from the Playbook</w:t>
            </w:r>
          </w:p>
        </w:tc>
      </w:tr>
      <w:tr w:rsidR="007E22B5" w14:paraId="2F98E3C9" w14:textId="77777777" w:rsidTr="00394C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5B1CA062"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B.1.1. Conduct building energy performance challenges</w:t>
            </w:r>
          </w:p>
          <w:p w14:paraId="7441BFC4"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B.1.2. Promote building energy rating systems (commercial and residential)</w:t>
            </w:r>
          </w:p>
          <w:p w14:paraId="15C14704" w14:textId="0271CC3C"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B.1.4. Promote voluntary “stretch” building energy conservation codes and green-building principles by providing information and technical assistance</w:t>
            </w:r>
          </w:p>
          <w:p w14:paraId="32CE2F3C" w14:textId="6345A903"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B.1.5. Promote “cool roofs”, air tightness testing, and other low-cost energy conservation approaches</w:t>
            </w:r>
          </w:p>
          <w:p w14:paraId="2AF6CEEA"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B.1.6. Support best practice information sharing among building owners</w:t>
            </w:r>
          </w:p>
          <w:p w14:paraId="596CB0BC"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B.2.1. Work with utilities to improve customer access to energy-use data</w:t>
            </w:r>
          </w:p>
          <w:p w14:paraId="39C5124F"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 xml:space="preserve">B.2.2. Conduct public education programs and campaigns that promote energy-saving measures </w:t>
            </w:r>
          </w:p>
          <w:p w14:paraId="585C3DC2"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B.2.3. Promote green leasing for commercial buildings that enable a fair proportion of costs/benefits to be allocated to both tenants and landlords</w:t>
            </w:r>
          </w:p>
          <w:p w14:paraId="65BA2C3E"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B.2.4. Provide energy management resources to support organizations in managing energy and emissions (e.g. shared energy managers)</w:t>
            </w:r>
          </w:p>
          <w:p w14:paraId="7FACF1FB" w14:textId="77777777" w:rsidR="008751AD" w:rsidRDefault="008751AD" w:rsidP="008751AD">
            <w:pPr>
              <w:ind w:left="29"/>
              <w:rPr>
                <w:rFonts w:ascii="Arial Narrow" w:hAnsi="Arial Narrow"/>
                <w:b w:val="0"/>
                <w:sz w:val="24"/>
                <w:szCs w:val="24"/>
              </w:rPr>
            </w:pPr>
            <w:r w:rsidRPr="008751AD">
              <w:rPr>
                <w:rFonts w:ascii="Arial Narrow" w:hAnsi="Arial Narrow"/>
                <w:b w:val="0"/>
                <w:sz w:val="24"/>
                <w:szCs w:val="24"/>
              </w:rPr>
              <w:t>B.3.1. Coordinate and manage discount purchase opportunities (e.g. bulk buy programs) to increase consumer access to strategically important technologies (e.g. solar panels, electric vehicles, ASHPs)</w:t>
            </w:r>
          </w:p>
          <w:p w14:paraId="5C84D72E" w14:textId="3F6B9058"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B.5.1. Improve access to specialized financing to pay for efficiency improvements (e.g. green bank, PACE financing, carbon tax with distribution fund)</w:t>
            </w:r>
          </w:p>
          <w:p w14:paraId="6F3FEADB"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B.6.2. Promote supportive market mechanisms such as building appraisal and mortgage underwriting that capture the value of investments in energy efficiency</w:t>
            </w:r>
          </w:p>
          <w:p w14:paraId="0221CA06"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 xml:space="preserve">B.7.1. Support efforts to train building operators in energy efficiency best practices </w:t>
            </w:r>
          </w:p>
          <w:p w14:paraId="65500266"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 xml:space="preserve">B.7.2. Invest in the sustainable buildings sector to improve the capacity of local or regional industry members to market, install, and maintain the technologies necessary for decarbonization </w:t>
            </w:r>
          </w:p>
          <w:p w14:paraId="4978E211"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B.8.2. Pilot new building technologies on city buildings</w:t>
            </w:r>
          </w:p>
          <w:p w14:paraId="3D857CF1"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B.10.1. Implement Municipal Strategic Energy Management programs to decrease energy consumption and GHG emissions in municipal government buildings</w:t>
            </w:r>
          </w:p>
          <w:p w14:paraId="4517106D"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B.10.2. Conduct deep retrofitting combined with installation of on-site renewable energy supply</w:t>
            </w:r>
          </w:p>
          <w:p w14:paraId="01DF035E" w14:textId="77777777" w:rsidR="008751AD" w:rsidRDefault="008751AD" w:rsidP="008751AD">
            <w:pPr>
              <w:ind w:left="29"/>
              <w:rPr>
                <w:rFonts w:ascii="Arial Narrow" w:hAnsi="Arial Narrow"/>
                <w:b w:val="0"/>
                <w:sz w:val="24"/>
                <w:szCs w:val="24"/>
              </w:rPr>
            </w:pPr>
            <w:r w:rsidRPr="008751AD">
              <w:rPr>
                <w:rFonts w:ascii="Arial Narrow" w:hAnsi="Arial Narrow"/>
                <w:b w:val="0"/>
                <w:sz w:val="24"/>
                <w:szCs w:val="24"/>
              </w:rPr>
              <w:t>B.10.3. Improve building operations and preventative maintenance</w:t>
            </w:r>
          </w:p>
          <w:p w14:paraId="53F3C55C"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B.10.4. Improve energy efficiency of public/government-owned housing</w:t>
            </w:r>
          </w:p>
          <w:p w14:paraId="49E73DC7"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B.10.5. Require all rehabilitation projects financed by city to include “green” capital needs assessment</w:t>
            </w:r>
          </w:p>
          <w:p w14:paraId="4739CF96"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B.11.1. Establish a city department or office separate from the city government to manage and implement renewable energy- and energy performance-focused programs</w:t>
            </w:r>
          </w:p>
          <w:p w14:paraId="429A62A9" w14:textId="77777777" w:rsidR="008751AD" w:rsidRDefault="008751AD" w:rsidP="008751AD">
            <w:pPr>
              <w:ind w:left="29"/>
              <w:rPr>
                <w:rFonts w:ascii="Arial Narrow" w:hAnsi="Arial Narrow"/>
                <w:b w:val="0"/>
                <w:sz w:val="24"/>
                <w:szCs w:val="24"/>
              </w:rPr>
            </w:pPr>
            <w:r w:rsidRPr="008751AD">
              <w:rPr>
                <w:rFonts w:ascii="Arial Narrow" w:hAnsi="Arial Narrow"/>
                <w:b w:val="0"/>
                <w:sz w:val="24"/>
                <w:szCs w:val="24"/>
              </w:rPr>
              <w:t>B.11.2. Provide a centralized online commerce system that provides information on programs, access to financing and permits, and connection to support staff</w:t>
            </w:r>
          </w:p>
          <w:p w14:paraId="783143CC"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B.14.3. Require upgrades to commercial/industrial buildings’ lighting systems</w:t>
            </w:r>
          </w:p>
          <w:p w14:paraId="1502EF29"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B.14.4. Require higher standards for energy efficiency of appliances</w:t>
            </w:r>
          </w:p>
          <w:p w14:paraId="2C9DA9B9"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B.14.5. Require energy performance check-ins and/or improvement actions (e.g. audit, recommissioning) at designated time intervals (e.g. every 5 years)</w:t>
            </w:r>
          </w:p>
          <w:p w14:paraId="5334E743" w14:textId="3784F008" w:rsidR="007E22B5" w:rsidRDefault="008751AD" w:rsidP="008751AD">
            <w:pPr>
              <w:ind w:left="29"/>
              <w:rPr>
                <w:rFonts w:ascii="Arial Narrow" w:hAnsi="Arial Narrow"/>
                <w:sz w:val="24"/>
                <w:szCs w:val="24"/>
              </w:rPr>
            </w:pPr>
            <w:r w:rsidRPr="008751AD">
              <w:rPr>
                <w:rFonts w:ascii="Arial Narrow" w:hAnsi="Arial Narrow"/>
                <w:b w:val="0"/>
                <w:sz w:val="24"/>
                <w:szCs w:val="24"/>
              </w:rPr>
              <w:t>B.14.6. Require certification of building operators</w:t>
            </w:r>
          </w:p>
        </w:tc>
      </w:tr>
    </w:tbl>
    <w:p w14:paraId="5802313F" w14:textId="78C6423D" w:rsidR="00F645A9" w:rsidRDefault="00F645A9" w:rsidP="00F645A9"/>
    <w:p w14:paraId="68E8119F" w14:textId="77777777" w:rsidR="00F645A9" w:rsidRDefault="00F645A9">
      <w:r>
        <w:br w:type="page"/>
      </w:r>
    </w:p>
    <w:p w14:paraId="490351BC" w14:textId="77777777" w:rsidR="004C6A68" w:rsidRPr="005E0DBD" w:rsidRDefault="004C6A68" w:rsidP="00394C10">
      <w:pPr>
        <w:pStyle w:val="Heading3"/>
      </w:pPr>
      <w:bookmarkStart w:id="26" w:name="_Toc460348785"/>
      <w:r w:rsidRPr="005E0DBD">
        <w:t>Transportation</w:t>
      </w:r>
      <w:bookmarkEnd w:id="26"/>
    </w:p>
    <w:tbl>
      <w:tblPr>
        <w:tblStyle w:val="GridTable4-Accent41"/>
        <w:tblW w:w="0" w:type="auto"/>
        <w:tblLook w:val="04A0" w:firstRow="1" w:lastRow="0" w:firstColumn="1" w:lastColumn="0" w:noHBand="0" w:noVBand="1"/>
      </w:tblPr>
      <w:tblGrid>
        <w:gridCol w:w="9350"/>
      </w:tblGrid>
      <w:tr w:rsidR="00F37D37" w14:paraId="20F8DE65" w14:textId="77777777" w:rsidTr="009B53E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52D06D2B" w14:textId="70B79B67" w:rsidR="00F37D37" w:rsidRDefault="00F03C77" w:rsidP="009B53E8">
            <w:pPr>
              <w:jc w:val="both"/>
              <w:rPr>
                <w:rFonts w:ascii="Arial Narrow" w:hAnsi="Arial Narrow"/>
                <w:sz w:val="24"/>
                <w:szCs w:val="24"/>
              </w:rPr>
            </w:pPr>
            <w:r w:rsidRPr="00F03C77">
              <w:rPr>
                <w:rFonts w:ascii="Arial Narrow" w:hAnsi="Arial Narrow"/>
                <w:sz w:val="24"/>
                <w:szCs w:val="24"/>
              </w:rPr>
              <w:t>Priority Focus to Achieve Decarbonization</w:t>
            </w:r>
          </w:p>
        </w:tc>
      </w:tr>
      <w:tr w:rsidR="00F37D37" w14:paraId="704E2824" w14:textId="77777777" w:rsidTr="009B53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50853D35" w14:textId="0762BC11" w:rsidR="00F37D37" w:rsidRPr="00394C10" w:rsidRDefault="00F37D37" w:rsidP="00394C10">
            <w:pPr>
              <w:pStyle w:val="ListParagraph"/>
              <w:numPr>
                <w:ilvl w:val="0"/>
                <w:numId w:val="23"/>
              </w:numPr>
              <w:ind w:left="454" w:hanging="425"/>
              <w:jc w:val="both"/>
              <w:rPr>
                <w:rFonts w:ascii="Arial Narrow" w:hAnsi="Arial Narrow"/>
                <w:sz w:val="24"/>
                <w:szCs w:val="24"/>
              </w:rPr>
            </w:pPr>
            <w:r w:rsidRPr="00394C10">
              <w:rPr>
                <w:rFonts w:ascii="Arial Narrow" w:hAnsi="Arial Narrow"/>
                <w:sz w:val="24"/>
                <w:szCs w:val="24"/>
              </w:rPr>
              <w:t>Continue to increase focus on transit</w:t>
            </w:r>
            <w:r>
              <w:rPr>
                <w:rFonts w:ascii="Arial Narrow" w:hAnsi="Arial Narrow"/>
                <w:sz w:val="24"/>
                <w:szCs w:val="24"/>
              </w:rPr>
              <w:t xml:space="preserve"> expansion and development </w:t>
            </w:r>
            <w:r w:rsidRPr="00394C10">
              <w:rPr>
                <w:rFonts w:ascii="Arial Narrow" w:hAnsi="Arial Narrow"/>
                <w:sz w:val="24"/>
                <w:szCs w:val="24"/>
              </w:rPr>
              <w:t xml:space="preserve">oriented </w:t>
            </w:r>
            <w:r>
              <w:rPr>
                <w:rFonts w:ascii="Arial Narrow" w:hAnsi="Arial Narrow"/>
                <w:sz w:val="24"/>
                <w:szCs w:val="24"/>
              </w:rPr>
              <w:t xml:space="preserve">to </w:t>
            </w:r>
            <w:r w:rsidRPr="00394C10">
              <w:rPr>
                <w:rFonts w:ascii="Arial Narrow" w:hAnsi="Arial Narrow"/>
                <w:sz w:val="24"/>
                <w:szCs w:val="24"/>
              </w:rPr>
              <w:t xml:space="preserve">transit, </w:t>
            </w:r>
            <w:r>
              <w:rPr>
                <w:rFonts w:ascii="Arial Narrow" w:hAnsi="Arial Narrow"/>
                <w:sz w:val="24"/>
                <w:szCs w:val="24"/>
              </w:rPr>
              <w:t>biking, and walking</w:t>
            </w:r>
          </w:p>
          <w:p w14:paraId="2289F36C" w14:textId="59720F08" w:rsidR="00F37D37" w:rsidRPr="00394C10" w:rsidRDefault="00F37D37" w:rsidP="00394C10">
            <w:pPr>
              <w:pStyle w:val="ListParagraph"/>
              <w:numPr>
                <w:ilvl w:val="0"/>
                <w:numId w:val="23"/>
              </w:numPr>
              <w:ind w:left="454" w:hanging="425"/>
              <w:jc w:val="both"/>
              <w:rPr>
                <w:rFonts w:ascii="Arial Narrow" w:hAnsi="Arial Narrow"/>
                <w:sz w:val="24"/>
                <w:szCs w:val="24"/>
              </w:rPr>
            </w:pPr>
            <w:r w:rsidRPr="00394C10">
              <w:rPr>
                <w:rFonts w:ascii="Arial Narrow" w:hAnsi="Arial Narrow"/>
                <w:sz w:val="24"/>
                <w:szCs w:val="24"/>
              </w:rPr>
              <w:t xml:space="preserve">Lobby </w:t>
            </w:r>
            <w:r>
              <w:rPr>
                <w:rFonts w:ascii="Arial Narrow" w:hAnsi="Arial Narrow"/>
                <w:sz w:val="24"/>
                <w:szCs w:val="24"/>
              </w:rPr>
              <w:t xml:space="preserve">state government for electric vehicle </w:t>
            </w:r>
            <w:r w:rsidRPr="00394C10">
              <w:rPr>
                <w:rFonts w:ascii="Arial Narrow" w:hAnsi="Arial Narrow"/>
                <w:sz w:val="24"/>
                <w:szCs w:val="24"/>
              </w:rPr>
              <w:t xml:space="preserve">readiness in </w:t>
            </w:r>
            <w:r>
              <w:rPr>
                <w:rFonts w:ascii="Arial Narrow" w:hAnsi="Arial Narrow"/>
                <w:sz w:val="24"/>
                <w:szCs w:val="24"/>
              </w:rPr>
              <w:t xml:space="preserve">building </w:t>
            </w:r>
            <w:r w:rsidRPr="00394C10">
              <w:rPr>
                <w:rFonts w:ascii="Arial Narrow" w:hAnsi="Arial Narrow"/>
                <w:sz w:val="24"/>
                <w:szCs w:val="24"/>
              </w:rPr>
              <w:t>code</w:t>
            </w:r>
          </w:p>
          <w:p w14:paraId="37A2817B" w14:textId="55643C94" w:rsidR="00F37D37" w:rsidRPr="00CC3B23" w:rsidRDefault="00F37D37" w:rsidP="00394C10">
            <w:pPr>
              <w:pStyle w:val="ListParagraph"/>
              <w:numPr>
                <w:ilvl w:val="0"/>
                <w:numId w:val="23"/>
              </w:numPr>
              <w:ind w:left="454" w:hanging="425"/>
              <w:jc w:val="both"/>
              <w:rPr>
                <w:rFonts w:ascii="Arial Narrow" w:hAnsi="Arial Narrow"/>
                <w:sz w:val="24"/>
                <w:szCs w:val="24"/>
              </w:rPr>
            </w:pPr>
            <w:r w:rsidRPr="00394C10">
              <w:rPr>
                <w:rFonts w:ascii="Arial Narrow" w:hAnsi="Arial Narrow"/>
                <w:sz w:val="24"/>
                <w:szCs w:val="24"/>
              </w:rPr>
              <w:t xml:space="preserve">Lobby state </w:t>
            </w:r>
            <w:r>
              <w:rPr>
                <w:rFonts w:ascii="Arial Narrow" w:hAnsi="Arial Narrow"/>
                <w:sz w:val="24"/>
                <w:szCs w:val="24"/>
              </w:rPr>
              <w:t xml:space="preserve">government to </w:t>
            </w:r>
            <w:r w:rsidRPr="00394C10">
              <w:rPr>
                <w:rFonts w:ascii="Arial Narrow" w:hAnsi="Arial Narrow"/>
                <w:sz w:val="24"/>
                <w:szCs w:val="24"/>
              </w:rPr>
              <w:t xml:space="preserve">adopt </w:t>
            </w:r>
            <w:r>
              <w:rPr>
                <w:rFonts w:ascii="Arial Narrow" w:hAnsi="Arial Narrow"/>
                <w:sz w:val="24"/>
                <w:szCs w:val="24"/>
              </w:rPr>
              <w:t xml:space="preserve">California zero emission vehicle </w:t>
            </w:r>
            <w:r w:rsidRPr="00394C10">
              <w:rPr>
                <w:rFonts w:ascii="Arial Narrow" w:hAnsi="Arial Narrow"/>
                <w:sz w:val="24"/>
                <w:szCs w:val="24"/>
              </w:rPr>
              <w:t>mandate</w:t>
            </w:r>
          </w:p>
        </w:tc>
      </w:tr>
    </w:tbl>
    <w:p w14:paraId="68D5BDEB" w14:textId="77777777" w:rsidR="00563F4C" w:rsidRDefault="00563F4C" w:rsidP="00563F4C">
      <w:pPr>
        <w:spacing w:before="240"/>
        <w:jc w:val="both"/>
        <w:rPr>
          <w:rFonts w:ascii="Arial Narrow" w:hAnsi="Arial Narrow"/>
          <w:sz w:val="24"/>
          <w:szCs w:val="24"/>
        </w:rPr>
      </w:pPr>
      <w:r>
        <w:rPr>
          <w:rFonts w:ascii="Arial Narrow" w:hAnsi="Arial Narrow"/>
          <w:sz w:val="24"/>
          <w:szCs w:val="24"/>
        </w:rPr>
        <w:t xml:space="preserve">As in other cities, reducing (and eventually eliminating) GHG emissions from Minneapolis’ transportation system will require a shift to zero emission vehicles and fuels, which can be supported and made more cost-effective through a </w:t>
      </w:r>
      <w:r w:rsidRPr="00563F4C">
        <w:rPr>
          <w:rFonts w:ascii="Arial Narrow" w:hAnsi="Arial Narrow"/>
          <w:sz w:val="24"/>
        </w:rPr>
        <w:t>shift</w:t>
      </w:r>
      <w:r>
        <w:rPr>
          <w:rFonts w:ascii="Arial Narrow" w:hAnsi="Arial Narrow"/>
          <w:sz w:val="24"/>
          <w:szCs w:val="24"/>
        </w:rPr>
        <w:t xml:space="preserve"> to greater transit use, cycling, and walking, each of which can yield other benefits. </w:t>
      </w:r>
    </w:p>
    <w:p w14:paraId="1F63711D" w14:textId="34A4138D" w:rsidR="004C6A68" w:rsidRPr="00E55C32" w:rsidRDefault="00563F4C" w:rsidP="00563F4C">
      <w:pPr>
        <w:spacing w:before="240"/>
        <w:jc w:val="both"/>
        <w:rPr>
          <w:rFonts w:ascii="Arial Narrow" w:hAnsi="Arial Narrow"/>
          <w:sz w:val="24"/>
        </w:rPr>
      </w:pPr>
      <w:r>
        <w:rPr>
          <w:rFonts w:ascii="Arial Narrow" w:hAnsi="Arial Narrow"/>
          <w:sz w:val="24"/>
          <w:szCs w:val="24"/>
        </w:rPr>
        <w:t xml:space="preserve">Minneapolis is in the midst of expanding transit infrastructure, has seen investments in cycling infrastructure drive high levels of cycling, and is increasingly focused on planning and building well-connected and transit-oriented neighborhoods and developments. Lower North Loop is one such neighborhood. </w:t>
      </w:r>
      <w:r w:rsidR="004C6A68">
        <w:rPr>
          <w:rFonts w:ascii="Arial Narrow" w:hAnsi="Arial Narrow"/>
          <w:sz w:val="24"/>
        </w:rPr>
        <w:t xml:space="preserve">The </w:t>
      </w:r>
      <w:r w:rsidR="00A3265F">
        <w:rPr>
          <w:rFonts w:ascii="Arial Narrow" w:hAnsi="Arial Narrow"/>
          <w:i/>
          <w:sz w:val="24"/>
        </w:rPr>
        <w:t xml:space="preserve">Transformation Scenario </w:t>
      </w:r>
      <w:r w:rsidR="004C6A68">
        <w:rPr>
          <w:rFonts w:ascii="Arial Narrow" w:hAnsi="Arial Narrow"/>
          <w:sz w:val="24"/>
        </w:rPr>
        <w:t xml:space="preserve">assumes the City </w:t>
      </w:r>
      <w:r w:rsidR="008A030C">
        <w:rPr>
          <w:rFonts w:ascii="Arial Narrow" w:hAnsi="Arial Narrow"/>
          <w:sz w:val="24"/>
        </w:rPr>
        <w:t>will achieve</w:t>
      </w:r>
      <w:r w:rsidR="004C6A68">
        <w:rPr>
          <w:rFonts w:ascii="Arial Narrow" w:hAnsi="Arial Narrow"/>
          <w:sz w:val="24"/>
        </w:rPr>
        <w:t xml:space="preserve"> its 2025 </w:t>
      </w:r>
      <w:r w:rsidR="00495AC8">
        <w:rPr>
          <w:rFonts w:ascii="Arial Narrow" w:hAnsi="Arial Narrow"/>
          <w:sz w:val="24"/>
        </w:rPr>
        <w:t xml:space="preserve">cycling target as set out in the </w:t>
      </w:r>
      <w:r w:rsidR="00495AC8">
        <w:rPr>
          <w:rFonts w:ascii="Arial Narrow" w:hAnsi="Arial Narrow"/>
          <w:i/>
          <w:sz w:val="24"/>
        </w:rPr>
        <w:t>Minneapolis Climate Action Plan</w:t>
      </w:r>
      <w:r w:rsidR="008A030C">
        <w:rPr>
          <w:rFonts w:ascii="Arial Narrow" w:hAnsi="Arial Narrow"/>
          <w:sz w:val="24"/>
        </w:rPr>
        <w:t>, then steadily increase</w:t>
      </w:r>
      <w:r w:rsidR="004C6A68">
        <w:rPr>
          <w:rFonts w:ascii="Arial Narrow" w:hAnsi="Arial Narrow"/>
          <w:sz w:val="24"/>
        </w:rPr>
        <w:t xml:space="preserve"> transit use, cycling, and walking </w:t>
      </w:r>
      <w:r w:rsidR="008A030C">
        <w:rPr>
          <w:rFonts w:ascii="Arial Narrow" w:hAnsi="Arial Narrow"/>
          <w:sz w:val="24"/>
        </w:rPr>
        <w:t>to</w:t>
      </w:r>
      <w:r w:rsidR="004C6A68">
        <w:rPr>
          <w:rFonts w:ascii="Arial Narrow" w:hAnsi="Arial Narrow"/>
          <w:sz w:val="24"/>
        </w:rPr>
        <w:t xml:space="preserve"> 2050</w:t>
      </w:r>
      <w:r w:rsidR="008A030C">
        <w:rPr>
          <w:rFonts w:ascii="Arial Narrow" w:hAnsi="Arial Narrow"/>
          <w:sz w:val="24"/>
        </w:rPr>
        <w:t>. This includes targets of:</w:t>
      </w:r>
    </w:p>
    <w:p w14:paraId="44F73AE1" w14:textId="10AB7D31" w:rsidR="004C6A68" w:rsidRPr="00E55C32" w:rsidRDefault="00495AC8" w:rsidP="004C6A68">
      <w:pPr>
        <w:pStyle w:val="ListParagraph"/>
        <w:numPr>
          <w:ilvl w:val="0"/>
          <w:numId w:val="14"/>
        </w:numPr>
        <w:jc w:val="both"/>
        <w:rPr>
          <w:rFonts w:ascii="Arial Narrow" w:hAnsi="Arial Narrow"/>
          <w:sz w:val="24"/>
        </w:rPr>
      </w:pPr>
      <w:r>
        <w:rPr>
          <w:rFonts w:ascii="Arial Narrow" w:hAnsi="Arial Narrow"/>
          <w:sz w:val="24"/>
        </w:rPr>
        <w:t>2</w:t>
      </w:r>
      <w:r w:rsidR="004C6A68" w:rsidRPr="00E55C32">
        <w:rPr>
          <w:rFonts w:ascii="Arial Narrow" w:hAnsi="Arial Narrow"/>
          <w:sz w:val="24"/>
        </w:rPr>
        <w:t>0% transit a</w:t>
      </w:r>
      <w:r>
        <w:rPr>
          <w:rFonts w:ascii="Arial Narrow" w:hAnsi="Arial Narrow"/>
          <w:sz w:val="24"/>
        </w:rPr>
        <w:t>nd 20% walking and biking by 202</w:t>
      </w:r>
      <w:r w:rsidR="004C6A68" w:rsidRPr="00E55C32">
        <w:rPr>
          <w:rFonts w:ascii="Arial Narrow" w:hAnsi="Arial Narrow"/>
          <w:sz w:val="24"/>
        </w:rPr>
        <w:t>5, and;</w:t>
      </w:r>
      <w:r>
        <w:rPr>
          <w:rStyle w:val="FootnoteReference"/>
          <w:rFonts w:ascii="Arial Narrow" w:hAnsi="Arial Narrow"/>
          <w:sz w:val="24"/>
        </w:rPr>
        <w:footnoteReference w:id="7"/>
      </w:r>
    </w:p>
    <w:p w14:paraId="5B9A9F4E" w14:textId="4B72DD95" w:rsidR="004C6A68" w:rsidRPr="00E55C32" w:rsidRDefault="00495AC8" w:rsidP="004C6A68">
      <w:pPr>
        <w:pStyle w:val="ListParagraph"/>
        <w:numPr>
          <w:ilvl w:val="0"/>
          <w:numId w:val="14"/>
        </w:numPr>
        <w:jc w:val="both"/>
        <w:rPr>
          <w:rFonts w:ascii="Arial Narrow" w:hAnsi="Arial Narrow"/>
          <w:sz w:val="24"/>
        </w:rPr>
      </w:pPr>
      <w:r>
        <w:rPr>
          <w:rFonts w:ascii="Arial Narrow" w:hAnsi="Arial Narrow"/>
          <w:sz w:val="24"/>
        </w:rPr>
        <w:t>35</w:t>
      </w:r>
      <w:r w:rsidR="004C6A68" w:rsidRPr="00E55C32">
        <w:rPr>
          <w:rFonts w:ascii="Arial Narrow" w:hAnsi="Arial Narrow"/>
          <w:sz w:val="24"/>
        </w:rPr>
        <w:t xml:space="preserve">% transit, and </w:t>
      </w:r>
      <w:r>
        <w:rPr>
          <w:rFonts w:ascii="Arial Narrow" w:hAnsi="Arial Narrow"/>
          <w:sz w:val="24"/>
        </w:rPr>
        <w:t>25</w:t>
      </w:r>
      <w:r w:rsidR="004C6A68" w:rsidRPr="00E55C32">
        <w:rPr>
          <w:rFonts w:ascii="Arial Narrow" w:hAnsi="Arial Narrow"/>
          <w:sz w:val="24"/>
        </w:rPr>
        <w:t>% walking and biking by 2050.</w:t>
      </w:r>
    </w:p>
    <w:p w14:paraId="78002D37" w14:textId="77777777" w:rsidR="00563F4C" w:rsidRDefault="00563F4C" w:rsidP="00563F4C">
      <w:pPr>
        <w:jc w:val="both"/>
        <w:rPr>
          <w:rFonts w:ascii="Arial Narrow" w:hAnsi="Arial Narrow"/>
          <w:sz w:val="24"/>
        </w:rPr>
      </w:pPr>
      <w:r>
        <w:rPr>
          <w:rFonts w:ascii="Arial Narrow" w:hAnsi="Arial Narrow"/>
          <w:sz w:val="24"/>
        </w:rPr>
        <w:t>Ultimately, to decarbonize the neighborhood, all passenger vehicles will need to be shifted to zero emission fuel sources, of which electricity appears to be the most achievable and cost-effective. In this scenario, n</w:t>
      </w:r>
      <w:r w:rsidRPr="00E55C32">
        <w:rPr>
          <w:rFonts w:ascii="Arial Narrow" w:hAnsi="Arial Narrow"/>
          <w:sz w:val="24"/>
        </w:rPr>
        <w:t xml:space="preserve">ew vehicle sales </w:t>
      </w:r>
      <w:r>
        <w:rPr>
          <w:rFonts w:ascii="Arial Narrow" w:hAnsi="Arial Narrow"/>
          <w:sz w:val="24"/>
        </w:rPr>
        <w:t xml:space="preserve">are assumed to steadily shift to electric vehicles over time, accounting for </w:t>
      </w:r>
      <w:r w:rsidRPr="00E55C32">
        <w:rPr>
          <w:rFonts w:ascii="Arial Narrow" w:hAnsi="Arial Narrow"/>
          <w:sz w:val="24"/>
        </w:rPr>
        <w:t xml:space="preserve">40% </w:t>
      </w:r>
      <w:r>
        <w:rPr>
          <w:rFonts w:ascii="Arial Narrow" w:hAnsi="Arial Narrow"/>
          <w:sz w:val="24"/>
        </w:rPr>
        <w:t xml:space="preserve">of passenger vehicles sold in </w:t>
      </w:r>
      <w:r w:rsidRPr="00E55C32">
        <w:rPr>
          <w:rFonts w:ascii="Arial Narrow" w:hAnsi="Arial Narrow"/>
          <w:sz w:val="24"/>
        </w:rPr>
        <w:t>2030</w:t>
      </w:r>
      <w:r>
        <w:rPr>
          <w:rFonts w:ascii="Arial Narrow" w:hAnsi="Arial Narrow"/>
          <w:sz w:val="24"/>
        </w:rPr>
        <w:t xml:space="preserve"> and quickly rising to </w:t>
      </w:r>
      <w:r w:rsidRPr="00E55C32">
        <w:rPr>
          <w:rFonts w:ascii="Arial Narrow" w:hAnsi="Arial Narrow"/>
          <w:sz w:val="24"/>
        </w:rPr>
        <w:t xml:space="preserve">100% </w:t>
      </w:r>
      <w:r>
        <w:rPr>
          <w:rFonts w:ascii="Arial Narrow" w:hAnsi="Arial Narrow"/>
          <w:sz w:val="24"/>
        </w:rPr>
        <w:t xml:space="preserve">of new vehicle sales </w:t>
      </w:r>
      <w:r w:rsidRPr="00E55C32">
        <w:rPr>
          <w:rFonts w:ascii="Arial Narrow" w:hAnsi="Arial Narrow"/>
          <w:sz w:val="24"/>
        </w:rPr>
        <w:t>by 2040.</w:t>
      </w:r>
      <w:r w:rsidRPr="00234687">
        <w:rPr>
          <w:rStyle w:val="FootnoteReference"/>
          <w:rFonts w:ascii="Arial Narrow" w:hAnsi="Arial Narrow"/>
          <w:sz w:val="24"/>
        </w:rPr>
        <w:t xml:space="preserve"> </w:t>
      </w:r>
      <w:r>
        <w:rPr>
          <w:rFonts w:ascii="Arial Narrow" w:hAnsi="Arial Narrow"/>
          <w:sz w:val="24"/>
        </w:rPr>
        <w:t>S</w:t>
      </w:r>
      <w:r w:rsidRPr="00E55C32">
        <w:rPr>
          <w:rFonts w:ascii="Arial Narrow" w:hAnsi="Arial Narrow"/>
          <w:sz w:val="24"/>
        </w:rPr>
        <w:t xml:space="preserve">ome gasoline and diesel use </w:t>
      </w:r>
      <w:r>
        <w:rPr>
          <w:rFonts w:ascii="Arial Narrow" w:hAnsi="Arial Narrow"/>
          <w:sz w:val="24"/>
        </w:rPr>
        <w:t>is assumed to remain for three reasons:</w:t>
      </w:r>
    </w:p>
    <w:p w14:paraId="39D39C21" w14:textId="77777777" w:rsidR="00563F4C" w:rsidRDefault="00563F4C" w:rsidP="00563F4C">
      <w:pPr>
        <w:pStyle w:val="ListParagraph"/>
        <w:numPr>
          <w:ilvl w:val="0"/>
          <w:numId w:val="14"/>
        </w:numPr>
        <w:jc w:val="both"/>
        <w:rPr>
          <w:rFonts w:ascii="Arial Narrow" w:hAnsi="Arial Narrow"/>
          <w:sz w:val="24"/>
        </w:rPr>
      </w:pPr>
      <w:r>
        <w:rPr>
          <w:rFonts w:ascii="Arial Narrow" w:hAnsi="Arial Narrow"/>
          <w:sz w:val="24"/>
        </w:rPr>
        <w:t>The model uses a simple algorithm that assumes only 4% of the vehicle stock is replaced with new vehicles each year, causing gasoline and diesel vehicles to remain on the road longer in the model than they are likely to in reality.</w:t>
      </w:r>
    </w:p>
    <w:p w14:paraId="06196F4A" w14:textId="77777777" w:rsidR="00563F4C" w:rsidRDefault="00563F4C" w:rsidP="00563F4C">
      <w:pPr>
        <w:pStyle w:val="ListParagraph"/>
        <w:numPr>
          <w:ilvl w:val="0"/>
          <w:numId w:val="14"/>
        </w:numPr>
        <w:jc w:val="both"/>
        <w:rPr>
          <w:rFonts w:ascii="Arial Narrow" w:hAnsi="Arial Narrow"/>
          <w:sz w:val="24"/>
        </w:rPr>
      </w:pPr>
      <w:r>
        <w:rPr>
          <w:rFonts w:ascii="Arial Narrow" w:hAnsi="Arial Narrow"/>
          <w:sz w:val="24"/>
        </w:rPr>
        <w:t>The model assumes 25% of electric vehicles sold are plug-in hybrid vehicles with gasoline or diesel used as the second fuel.</w:t>
      </w:r>
      <w:r w:rsidRPr="00561A89">
        <w:rPr>
          <w:rFonts w:ascii="Arial Narrow" w:hAnsi="Arial Narrow"/>
          <w:sz w:val="24"/>
          <w:szCs w:val="24"/>
          <w:vertAlign w:val="superscript"/>
        </w:rPr>
        <w:footnoteReference w:id="8"/>
      </w:r>
    </w:p>
    <w:p w14:paraId="18CF206F" w14:textId="759515B4" w:rsidR="00563F4C" w:rsidRPr="00394C10" w:rsidRDefault="00563F4C" w:rsidP="00563F4C">
      <w:pPr>
        <w:pStyle w:val="ListParagraph"/>
        <w:numPr>
          <w:ilvl w:val="0"/>
          <w:numId w:val="14"/>
        </w:numPr>
        <w:jc w:val="both"/>
        <w:rPr>
          <w:rFonts w:ascii="Arial Narrow" w:hAnsi="Arial Narrow"/>
          <w:sz w:val="24"/>
          <w:szCs w:val="24"/>
        </w:rPr>
      </w:pPr>
      <w:r w:rsidRPr="00856A87">
        <w:rPr>
          <w:rFonts w:ascii="Arial Narrow" w:hAnsi="Arial Narrow"/>
          <w:sz w:val="24"/>
        </w:rPr>
        <w:t xml:space="preserve">This </w:t>
      </w:r>
      <w:r w:rsidR="00A3265F">
        <w:rPr>
          <w:rFonts w:ascii="Arial Narrow" w:hAnsi="Arial Narrow"/>
          <w:i/>
          <w:sz w:val="24"/>
        </w:rPr>
        <w:t xml:space="preserve">Transformation Scenario </w:t>
      </w:r>
      <w:r w:rsidRPr="00856A87">
        <w:rPr>
          <w:rFonts w:ascii="Arial Narrow" w:hAnsi="Arial Narrow"/>
          <w:sz w:val="24"/>
        </w:rPr>
        <w:t>has not addressed fuel switching in transit vehicles or freight, which leave</w:t>
      </w:r>
      <w:r>
        <w:rPr>
          <w:rFonts w:ascii="Arial Narrow" w:hAnsi="Arial Narrow"/>
          <w:sz w:val="24"/>
        </w:rPr>
        <w:t>s</w:t>
      </w:r>
      <w:r w:rsidRPr="00856A87">
        <w:rPr>
          <w:rFonts w:ascii="Arial Narrow" w:hAnsi="Arial Narrow"/>
          <w:sz w:val="24"/>
        </w:rPr>
        <w:t xml:space="preserve"> some residual GHG emissions that will have to be addressed. </w:t>
      </w:r>
    </w:p>
    <w:p w14:paraId="13A4F6A7" w14:textId="413AD968" w:rsidR="00563F4C" w:rsidRPr="00563F4C" w:rsidRDefault="00563F4C" w:rsidP="00563F4C">
      <w:pPr>
        <w:jc w:val="both"/>
        <w:rPr>
          <w:rFonts w:ascii="Arial Narrow" w:hAnsi="Arial Narrow"/>
          <w:sz w:val="24"/>
          <w:szCs w:val="24"/>
        </w:rPr>
      </w:pPr>
      <w:r>
        <w:rPr>
          <w:rFonts w:ascii="Arial Narrow" w:hAnsi="Arial Narrow"/>
          <w:sz w:val="24"/>
          <w:szCs w:val="24"/>
        </w:rPr>
        <w:t xml:space="preserve">As in other cities, Minneapolis </w:t>
      </w:r>
      <w:r w:rsidRPr="00563F4C">
        <w:rPr>
          <w:rFonts w:ascii="Arial Narrow" w:hAnsi="Arial Narrow"/>
          <w:sz w:val="24"/>
          <w:szCs w:val="24"/>
        </w:rPr>
        <w:t>has limited power to increase vehicle availability and adoption, so must use its powers to increase market readiness and prepare for an electric vehicle future. This includes the provision of investments into installing the infrastructure necessary for a 100% electric vehicle future. Unfortunately, without control over its building code, the City is also limited in terms of its ability to increase electric vehicle charging availability in residences and workplaces, where the vast majority of electric vehicle charging occurs</w:t>
      </w:r>
      <w:r>
        <w:rPr>
          <w:rFonts w:ascii="Arial Narrow" w:hAnsi="Arial Narrow"/>
          <w:sz w:val="24"/>
          <w:szCs w:val="24"/>
        </w:rPr>
        <w:t xml:space="preserve"> (&gt;85%)</w:t>
      </w:r>
      <w:r w:rsidRPr="00563F4C">
        <w:rPr>
          <w:rFonts w:ascii="Arial Narrow" w:hAnsi="Arial Narrow"/>
          <w:sz w:val="24"/>
          <w:szCs w:val="24"/>
        </w:rPr>
        <w:t xml:space="preserve">. </w:t>
      </w:r>
    </w:p>
    <w:p w14:paraId="21054DD7" w14:textId="65140398" w:rsidR="00507A61" w:rsidRDefault="00B168DE" w:rsidP="00507A61">
      <w:pPr>
        <w:jc w:val="both"/>
        <w:rPr>
          <w:rFonts w:ascii="Arial Narrow" w:hAnsi="Arial Narrow"/>
          <w:sz w:val="24"/>
          <w:szCs w:val="24"/>
        </w:rPr>
      </w:pPr>
      <w:r w:rsidRPr="007F6676">
        <w:rPr>
          <w:rFonts w:ascii="Arial Narrow" w:hAnsi="Arial Narrow"/>
          <w:noProof/>
          <w:sz w:val="24"/>
          <w:szCs w:val="24"/>
          <w:lang w:eastAsia="en-CA"/>
        </w:rPr>
        <mc:AlternateContent>
          <mc:Choice Requires="wps">
            <w:drawing>
              <wp:anchor distT="45720" distB="45720" distL="114300" distR="114300" simplePos="0" relativeHeight="251674624" behindDoc="0" locked="0" layoutInCell="1" allowOverlap="1" wp14:anchorId="48FA766B" wp14:editId="7E9F3CDA">
                <wp:simplePos x="0" y="0"/>
                <wp:positionH relativeFrom="margin">
                  <wp:align>right</wp:align>
                </wp:positionH>
                <wp:positionV relativeFrom="margin">
                  <wp:align>top</wp:align>
                </wp:positionV>
                <wp:extent cx="2426335" cy="4709795"/>
                <wp:effectExtent l="0" t="0" r="0" b="0"/>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6335" cy="4709795"/>
                        </a:xfrm>
                        <a:prstGeom prst="rect">
                          <a:avLst/>
                        </a:prstGeom>
                        <a:noFill/>
                        <a:ln w="9525">
                          <a:noFill/>
                          <a:miter lim="800000"/>
                          <a:headEnd/>
                          <a:tailEnd/>
                        </a:ln>
                      </wps:spPr>
                      <wps:txbx>
                        <w:txbxContent>
                          <w:tbl>
                            <w:tblPr>
                              <w:tblStyle w:val="GridTable4-Accent41"/>
                              <w:tblW w:w="0" w:type="auto"/>
                              <w:tblInd w:w="-147" w:type="dxa"/>
                              <w:tblLook w:val="04A0" w:firstRow="1" w:lastRow="0" w:firstColumn="1" w:lastColumn="0" w:noHBand="0" w:noVBand="1"/>
                            </w:tblPr>
                            <w:tblGrid>
                              <w:gridCol w:w="3656"/>
                            </w:tblGrid>
                            <w:tr w:rsidR="00D64CDD" w14:paraId="4A7C0869" w14:textId="77777777" w:rsidTr="00B168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08" w:type="dxa"/>
                                </w:tcPr>
                                <w:p w14:paraId="158FD8C7" w14:textId="2174F2CE" w:rsidR="00D64CDD" w:rsidRDefault="00D64CDD" w:rsidP="005E24C2">
                                  <w:pPr>
                                    <w:rPr>
                                      <w:rFonts w:ascii="Arial Narrow" w:hAnsi="Arial Narrow"/>
                                      <w:sz w:val="24"/>
                                      <w:szCs w:val="24"/>
                                    </w:rPr>
                                  </w:pPr>
                                  <w:r>
                                    <w:rPr>
                                      <w:rFonts w:ascii="Arial Narrow" w:hAnsi="Arial Narrow"/>
                                      <w:sz w:val="24"/>
                                      <w:szCs w:val="24"/>
                                    </w:rPr>
                                    <w:t>Example: Electric Vehicle Charing Requirements in Buildings</w:t>
                                  </w:r>
                                </w:p>
                              </w:tc>
                            </w:tr>
                            <w:tr w:rsidR="00D64CDD" w14:paraId="628E953D" w14:textId="77777777" w:rsidTr="00B168DE">
                              <w:trPr>
                                <w:cnfStyle w:val="000000100000" w:firstRow="0" w:lastRow="0" w:firstColumn="0" w:lastColumn="0" w:oddVBand="0" w:evenVBand="0" w:oddHBand="1" w:evenHBand="0" w:firstRowFirstColumn="0" w:firstRowLastColumn="0" w:lastRowFirstColumn="0" w:lastRowLastColumn="0"/>
                                <w:trHeight w:val="6675"/>
                              </w:trPr>
                              <w:tc>
                                <w:tcPr>
                                  <w:cnfStyle w:val="001000000000" w:firstRow="0" w:lastRow="0" w:firstColumn="1" w:lastColumn="0" w:oddVBand="0" w:evenVBand="0" w:oddHBand="0" w:evenHBand="0" w:firstRowFirstColumn="0" w:firstRowLastColumn="0" w:lastRowFirstColumn="0" w:lastRowLastColumn="0"/>
                                  <w:tcW w:w="3808" w:type="dxa"/>
                                  <w:shd w:val="clear" w:color="auto" w:fill="auto"/>
                                </w:tcPr>
                                <w:p w14:paraId="135B6DE1" w14:textId="55F2ADE7" w:rsidR="00D64CDD" w:rsidRPr="00ED6716" w:rsidRDefault="00D64CDD" w:rsidP="00ED6716">
                                  <w:pPr>
                                    <w:spacing w:before="120"/>
                                    <w:rPr>
                                      <w:rFonts w:ascii="Arial Narrow" w:hAnsi="Arial Narrow"/>
                                      <w:b w:val="0"/>
                                      <w:sz w:val="24"/>
                                      <w:szCs w:val="24"/>
                                    </w:rPr>
                                  </w:pPr>
                                  <w:r w:rsidRPr="00ED6716">
                                    <w:rPr>
                                      <w:rFonts w:ascii="Arial Narrow" w:hAnsi="Arial Narrow"/>
                                      <w:b w:val="0"/>
                                      <w:sz w:val="24"/>
                                      <w:szCs w:val="24"/>
                                    </w:rPr>
                                    <w:t xml:space="preserve">On the assumption that Minneapolis </w:t>
                                  </w:r>
                                  <w:r>
                                    <w:rPr>
                                      <w:rFonts w:ascii="Arial Narrow" w:hAnsi="Arial Narrow"/>
                                      <w:b w:val="0"/>
                                      <w:sz w:val="24"/>
                                      <w:szCs w:val="24"/>
                                    </w:rPr>
                                    <w:t xml:space="preserve">obtains </w:t>
                                  </w:r>
                                  <w:r w:rsidRPr="00ED6716">
                                    <w:rPr>
                                      <w:rFonts w:ascii="Arial Narrow" w:hAnsi="Arial Narrow"/>
                                      <w:b w:val="0"/>
                                      <w:sz w:val="24"/>
                                      <w:szCs w:val="24"/>
                                    </w:rPr>
                                    <w:t>the power to regulate building codes</w:t>
                                  </w:r>
                                  <w:r>
                                    <w:rPr>
                                      <w:rFonts w:ascii="Arial Narrow" w:hAnsi="Arial Narrow"/>
                                      <w:b w:val="0"/>
                                      <w:sz w:val="24"/>
                                      <w:szCs w:val="24"/>
                                    </w:rPr>
                                    <w:t xml:space="preserve"> or can lobby the state for certain building code changes</w:t>
                                  </w:r>
                                  <w:r w:rsidRPr="00ED6716">
                                    <w:rPr>
                                      <w:rFonts w:ascii="Arial Narrow" w:hAnsi="Arial Narrow"/>
                                      <w:b w:val="0"/>
                                      <w:sz w:val="24"/>
                                      <w:szCs w:val="24"/>
                                    </w:rPr>
                                    <w:t xml:space="preserve">, there are </w:t>
                                  </w:r>
                                  <w:r>
                                    <w:rPr>
                                      <w:rFonts w:ascii="Arial Narrow" w:hAnsi="Arial Narrow"/>
                                      <w:b w:val="0"/>
                                      <w:sz w:val="24"/>
                                      <w:szCs w:val="24"/>
                                    </w:rPr>
                                    <w:t>several</w:t>
                                  </w:r>
                                  <w:r w:rsidRPr="00ED6716">
                                    <w:rPr>
                                      <w:rFonts w:ascii="Arial Narrow" w:hAnsi="Arial Narrow"/>
                                      <w:b w:val="0"/>
                                      <w:sz w:val="24"/>
                                      <w:szCs w:val="24"/>
                                    </w:rPr>
                                    <w:t xml:space="preserve"> examples of cities enforcing a minimum number of electric vehicle charging stations for multi-family residential and commercial buildings (e.g. Vancouver, Los Angeles, San Francisco). </w:t>
                                  </w:r>
                                </w:p>
                                <w:p w14:paraId="3592FA06" w14:textId="77777777" w:rsidR="00D64CDD" w:rsidRPr="00B93DF1" w:rsidRDefault="00D64CDD" w:rsidP="00394C10">
                                  <w:pPr>
                                    <w:spacing w:before="120"/>
                                    <w:rPr>
                                      <w:rFonts w:ascii="Arial Narrow" w:hAnsi="Arial Narrow"/>
                                      <w:b w:val="0"/>
                                      <w:sz w:val="24"/>
                                      <w:szCs w:val="24"/>
                                    </w:rPr>
                                  </w:pPr>
                                  <w:r w:rsidRPr="00ED6716">
                                    <w:rPr>
                                      <w:rFonts w:ascii="Arial Narrow" w:hAnsi="Arial Narrow"/>
                                      <w:b w:val="0"/>
                                      <w:sz w:val="24"/>
                                      <w:szCs w:val="24"/>
                                    </w:rPr>
                                    <w:t>Otherwise, the provision of public charging infrastructure could also help to encourage plug-in vehicle ownership through increased confidence in the ability to operate their electric vehicles across the city’s geographic area. One leading example of electric vehicle use is Portland, Oregon, which has a generous network of charging stations, as well as a dedicated area of parking spaces reserved for plug-in cars in the downtown area, entitled Electric Avenue.</w:t>
                                  </w:r>
                                </w:p>
                              </w:tc>
                            </w:tr>
                          </w:tbl>
                          <w:p w14:paraId="130035EE" w14:textId="77777777" w:rsidR="00D64CDD" w:rsidRDefault="00D64CDD" w:rsidP="00ED671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FA766B" id="_x0000_s1030" type="#_x0000_t202" style="position:absolute;left:0;text-align:left;margin-left:139.85pt;margin-top:0;width:191.05pt;height:370.85pt;z-index:251674624;visibility:visible;mso-wrap-style:square;mso-width-percent:0;mso-height-percent:0;mso-wrap-distance-left:9pt;mso-wrap-distance-top:3.6pt;mso-wrap-distance-right:9pt;mso-wrap-distance-bottom:3.6pt;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" filled="f" stroked="f">
                <v:textbox>
                  <w:txbxContent>
                    <w:tbl>
                      <w:tblPr>
                        <w:tblStyle w:val="GridTable4-Accent41"/>
                        <w:tblW w:w="0" w:type="auto"/>
                        <w:tblInd w:w="-147" w:type="dxa"/>
                        <w:tblLook w:val="04A0" w:firstRow="1" w:lastRow="0" w:firstColumn="1" w:lastColumn="0" w:noHBand="0" w:noVBand="1"/>
                      </w:tblPr>
                      <w:tblGrid>
                        <w:gridCol w:w="3656"/>
                      </w:tblGrid>
                      <w:tr w:rsidR="00D64CDD" w14:paraId="4A7C0869" w14:textId="77777777" w:rsidTr="00B168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08" w:type="dxa"/>
                          </w:tcPr>
                          <w:p w14:paraId="158FD8C7" w14:textId="2174F2CE" w:rsidR="00D64CDD" w:rsidRDefault="00D64CDD" w:rsidP="005E24C2">
                            <w:pPr>
                              <w:rPr>
                                <w:rFonts w:ascii="Arial Narrow" w:hAnsi="Arial Narrow"/>
                                <w:sz w:val="24"/>
                                <w:szCs w:val="24"/>
                              </w:rPr>
                            </w:pPr>
                            <w:r>
                              <w:rPr>
                                <w:rFonts w:ascii="Arial Narrow" w:hAnsi="Arial Narrow"/>
                                <w:sz w:val="24"/>
                                <w:szCs w:val="24"/>
                              </w:rPr>
                              <w:t>Example: Electric Vehicle Charing Requirements in Buildings</w:t>
                            </w:r>
                          </w:p>
                        </w:tc>
                      </w:tr>
                      <w:tr w:rsidR="00D64CDD" w14:paraId="628E953D" w14:textId="77777777" w:rsidTr="00B168DE">
                        <w:trPr>
                          <w:cnfStyle w:val="000000100000" w:firstRow="0" w:lastRow="0" w:firstColumn="0" w:lastColumn="0" w:oddVBand="0" w:evenVBand="0" w:oddHBand="1" w:evenHBand="0" w:firstRowFirstColumn="0" w:firstRowLastColumn="0" w:lastRowFirstColumn="0" w:lastRowLastColumn="0"/>
                          <w:trHeight w:val="6675"/>
                        </w:trPr>
                        <w:tc>
                          <w:tcPr>
                            <w:cnfStyle w:val="001000000000" w:firstRow="0" w:lastRow="0" w:firstColumn="1" w:lastColumn="0" w:oddVBand="0" w:evenVBand="0" w:oddHBand="0" w:evenHBand="0" w:firstRowFirstColumn="0" w:firstRowLastColumn="0" w:lastRowFirstColumn="0" w:lastRowLastColumn="0"/>
                            <w:tcW w:w="3808" w:type="dxa"/>
                            <w:shd w:val="clear" w:color="auto" w:fill="auto"/>
                          </w:tcPr>
                          <w:p w14:paraId="135B6DE1" w14:textId="55F2ADE7" w:rsidR="00D64CDD" w:rsidRPr="00ED6716" w:rsidRDefault="00D64CDD" w:rsidP="00ED6716">
                            <w:pPr>
                              <w:spacing w:before="120"/>
                              <w:rPr>
                                <w:rFonts w:ascii="Arial Narrow" w:hAnsi="Arial Narrow"/>
                                <w:b w:val="0"/>
                                <w:sz w:val="24"/>
                                <w:szCs w:val="24"/>
                              </w:rPr>
                            </w:pPr>
                            <w:r w:rsidRPr="00ED6716">
                              <w:rPr>
                                <w:rFonts w:ascii="Arial Narrow" w:hAnsi="Arial Narrow"/>
                                <w:b w:val="0"/>
                                <w:sz w:val="24"/>
                                <w:szCs w:val="24"/>
                              </w:rPr>
                              <w:t xml:space="preserve">On the assumption that Minneapolis </w:t>
                            </w:r>
                            <w:r>
                              <w:rPr>
                                <w:rFonts w:ascii="Arial Narrow" w:hAnsi="Arial Narrow"/>
                                <w:b w:val="0"/>
                                <w:sz w:val="24"/>
                                <w:szCs w:val="24"/>
                              </w:rPr>
                              <w:t xml:space="preserve">obtains </w:t>
                            </w:r>
                            <w:r w:rsidRPr="00ED6716">
                              <w:rPr>
                                <w:rFonts w:ascii="Arial Narrow" w:hAnsi="Arial Narrow"/>
                                <w:b w:val="0"/>
                                <w:sz w:val="24"/>
                                <w:szCs w:val="24"/>
                              </w:rPr>
                              <w:t>the power to regulate building codes</w:t>
                            </w:r>
                            <w:r>
                              <w:rPr>
                                <w:rFonts w:ascii="Arial Narrow" w:hAnsi="Arial Narrow"/>
                                <w:b w:val="0"/>
                                <w:sz w:val="24"/>
                                <w:szCs w:val="24"/>
                              </w:rPr>
                              <w:t xml:space="preserve"> or can lobby the state for certain building code changes</w:t>
                            </w:r>
                            <w:r w:rsidRPr="00ED6716">
                              <w:rPr>
                                <w:rFonts w:ascii="Arial Narrow" w:hAnsi="Arial Narrow"/>
                                <w:b w:val="0"/>
                                <w:sz w:val="24"/>
                                <w:szCs w:val="24"/>
                              </w:rPr>
                              <w:t xml:space="preserve">, there are </w:t>
                            </w:r>
                            <w:r>
                              <w:rPr>
                                <w:rFonts w:ascii="Arial Narrow" w:hAnsi="Arial Narrow"/>
                                <w:b w:val="0"/>
                                <w:sz w:val="24"/>
                                <w:szCs w:val="24"/>
                              </w:rPr>
                              <w:t>several</w:t>
                            </w:r>
                            <w:r w:rsidRPr="00ED6716">
                              <w:rPr>
                                <w:rFonts w:ascii="Arial Narrow" w:hAnsi="Arial Narrow"/>
                                <w:b w:val="0"/>
                                <w:sz w:val="24"/>
                                <w:szCs w:val="24"/>
                              </w:rPr>
                              <w:t xml:space="preserve"> examples of cities enforcing a minimum number of electric vehicle charging stations for multi-family residential and commercial buildings (e.g. Vancouver, Los Angeles, San Francisco). </w:t>
                            </w:r>
                          </w:p>
                          <w:p w14:paraId="3592FA06" w14:textId="77777777" w:rsidR="00D64CDD" w:rsidRPr="00B93DF1" w:rsidRDefault="00D64CDD" w:rsidP="00394C10">
                            <w:pPr>
                              <w:spacing w:before="120"/>
                              <w:rPr>
                                <w:rFonts w:ascii="Arial Narrow" w:hAnsi="Arial Narrow"/>
                                <w:b w:val="0"/>
                                <w:sz w:val="24"/>
                                <w:szCs w:val="24"/>
                              </w:rPr>
                            </w:pPr>
                            <w:r w:rsidRPr="00ED6716">
                              <w:rPr>
                                <w:rFonts w:ascii="Arial Narrow" w:hAnsi="Arial Narrow"/>
                                <w:b w:val="0"/>
                                <w:sz w:val="24"/>
                                <w:szCs w:val="24"/>
                              </w:rPr>
                              <w:t>Otherwise, the provision of public charging infrastructure could also help to encourage plug-in vehicle ownership through increased confidence in the ability to operate their electric vehicles across the city’s geographic area. One leading example of electric vehicle use is Portland, Oregon, which has a generous network of charging stations, as well as a dedicated area of parking spaces reserved for plug-in cars in the downtown area, entitled Electric Avenue.</w:t>
                            </w:r>
                          </w:p>
                        </w:tc>
                      </w:tr>
                    </w:tbl>
                    <w:p w14:paraId="130035EE" w14:textId="77777777" w:rsidR="00D64CDD" w:rsidRDefault="00D64CDD" w:rsidP="00ED6716"/>
                  </w:txbxContent>
                </v:textbox>
                <w10:wrap type="square" anchorx="margin" anchory="margin"/>
              </v:shape>
            </w:pict>
          </mc:Fallback>
        </mc:AlternateContent>
      </w:r>
      <w:r w:rsidR="00ED6716">
        <w:rPr>
          <w:rFonts w:ascii="Arial Narrow" w:hAnsi="Arial Narrow"/>
          <w:sz w:val="24"/>
          <w:szCs w:val="24"/>
        </w:rPr>
        <w:t xml:space="preserve">Based on these priorities and the City’s </w:t>
      </w:r>
      <w:r w:rsidR="00563F4C">
        <w:rPr>
          <w:rFonts w:ascii="Arial Narrow" w:hAnsi="Arial Narrow"/>
          <w:sz w:val="24"/>
          <w:szCs w:val="24"/>
        </w:rPr>
        <w:t>level of control over transportation</w:t>
      </w:r>
      <w:r w:rsidR="00ED6716">
        <w:rPr>
          <w:rFonts w:ascii="Arial Narrow" w:hAnsi="Arial Narrow"/>
          <w:sz w:val="24"/>
          <w:szCs w:val="24"/>
        </w:rPr>
        <w:t>, priority a</w:t>
      </w:r>
      <w:r w:rsidR="00507A61">
        <w:rPr>
          <w:rFonts w:ascii="Arial Narrow" w:hAnsi="Arial Narrow"/>
          <w:sz w:val="24"/>
          <w:szCs w:val="24"/>
        </w:rPr>
        <w:t xml:space="preserve">ctions from the </w:t>
      </w:r>
      <w:r w:rsidR="00ED6716">
        <w:rPr>
          <w:rFonts w:ascii="Arial Narrow" w:hAnsi="Arial Narrow"/>
          <w:sz w:val="24"/>
          <w:szCs w:val="24"/>
        </w:rPr>
        <w:t xml:space="preserve">Playbook that the City should continue to focus on or begin focusing on </w:t>
      </w:r>
      <w:r w:rsidR="00507A61">
        <w:rPr>
          <w:rFonts w:ascii="Arial Narrow" w:hAnsi="Arial Narrow"/>
          <w:sz w:val="24"/>
          <w:szCs w:val="24"/>
        </w:rPr>
        <w:t>include:</w:t>
      </w:r>
    </w:p>
    <w:p w14:paraId="6387F2BE" w14:textId="2F838F0F" w:rsidR="00507A61" w:rsidRPr="00B67C60" w:rsidRDefault="00507A61" w:rsidP="00507A61">
      <w:pPr>
        <w:rPr>
          <w:rFonts w:ascii="Arial Narrow" w:hAnsi="Arial Narrow"/>
          <w:b/>
          <w:sz w:val="24"/>
          <w:szCs w:val="24"/>
        </w:rPr>
      </w:pPr>
      <w:r w:rsidRPr="00B67C60">
        <w:rPr>
          <w:rFonts w:ascii="Arial Narrow" w:hAnsi="Arial Narrow"/>
          <w:b/>
          <w:sz w:val="24"/>
          <w:szCs w:val="24"/>
        </w:rPr>
        <w:t>T.7 – Invest in increasing non-vehicle share of mobility</w:t>
      </w:r>
    </w:p>
    <w:p w14:paraId="4CB7BE90" w14:textId="221D62C2" w:rsidR="004F0152" w:rsidRPr="004F0152" w:rsidRDefault="004F0152" w:rsidP="004F0152">
      <w:pPr>
        <w:ind w:left="284"/>
        <w:rPr>
          <w:rFonts w:ascii="Arial Narrow" w:hAnsi="Arial Narrow"/>
          <w:sz w:val="24"/>
          <w:szCs w:val="24"/>
        </w:rPr>
      </w:pPr>
      <w:r w:rsidRPr="004F0152">
        <w:rPr>
          <w:rFonts w:ascii="Arial Narrow" w:hAnsi="Arial Narrow"/>
          <w:sz w:val="24"/>
          <w:szCs w:val="24"/>
        </w:rPr>
        <w:t>T.7.4. Invest in bicycle sharing programs and public bicycle parking (coupled with requirements for buildings to provide bicycle space)</w:t>
      </w:r>
    </w:p>
    <w:p w14:paraId="2D703433" w14:textId="1D883336" w:rsidR="00507A61" w:rsidRPr="00B67C60" w:rsidRDefault="004F0152" w:rsidP="004F0152">
      <w:pPr>
        <w:ind w:left="284"/>
        <w:rPr>
          <w:rFonts w:ascii="Arial Narrow" w:hAnsi="Arial Narrow"/>
          <w:sz w:val="24"/>
          <w:szCs w:val="24"/>
        </w:rPr>
      </w:pPr>
      <w:r w:rsidRPr="004F0152">
        <w:rPr>
          <w:rFonts w:ascii="Arial Narrow" w:hAnsi="Arial Narrow"/>
          <w:sz w:val="24"/>
          <w:szCs w:val="24"/>
        </w:rPr>
        <w:t>T.7.5. Invest in infrastructure for low- to no-carbon mobility: electric vehicle charging, hydrogen, fuel cell infrastructure (including incentives for real estate owners to install charging stations)</w:t>
      </w:r>
    </w:p>
    <w:p w14:paraId="448F50FC" w14:textId="5DFA66B3" w:rsidR="00507A61" w:rsidRPr="00B67C60" w:rsidRDefault="00507A61" w:rsidP="00507A61">
      <w:pPr>
        <w:rPr>
          <w:rFonts w:ascii="Arial Narrow" w:hAnsi="Arial Narrow"/>
          <w:b/>
          <w:sz w:val="24"/>
          <w:szCs w:val="24"/>
          <w:highlight w:val="yellow"/>
        </w:rPr>
      </w:pPr>
      <w:r w:rsidRPr="00B67C60">
        <w:rPr>
          <w:rFonts w:ascii="Arial Narrow" w:hAnsi="Arial Narrow"/>
          <w:b/>
          <w:sz w:val="24"/>
          <w:szCs w:val="24"/>
        </w:rPr>
        <w:t>T.8 – Invest in redesigned urban form/density to promote less use of vehicles</w:t>
      </w:r>
    </w:p>
    <w:p w14:paraId="1FF0AC32" w14:textId="01346026" w:rsidR="004F0152" w:rsidRPr="004F0152" w:rsidRDefault="004F0152" w:rsidP="004F0152">
      <w:pPr>
        <w:ind w:left="284"/>
        <w:rPr>
          <w:rFonts w:ascii="Arial Narrow" w:hAnsi="Arial Narrow"/>
          <w:sz w:val="24"/>
          <w:szCs w:val="24"/>
        </w:rPr>
      </w:pPr>
      <w:r w:rsidRPr="004F0152">
        <w:rPr>
          <w:rFonts w:ascii="Arial Narrow" w:hAnsi="Arial Narrow"/>
          <w:sz w:val="24"/>
          <w:szCs w:val="24"/>
        </w:rPr>
        <w:t>T.8.1. Develop bicycle/walking infrastructure (citywide network)</w:t>
      </w:r>
    </w:p>
    <w:p w14:paraId="6F0ABDAC" w14:textId="667D3AAD" w:rsidR="004F0152" w:rsidRPr="004F0152" w:rsidRDefault="004F0152" w:rsidP="004F0152">
      <w:pPr>
        <w:ind w:left="284"/>
        <w:rPr>
          <w:rFonts w:ascii="Arial Narrow" w:hAnsi="Arial Narrow"/>
          <w:sz w:val="24"/>
          <w:szCs w:val="24"/>
        </w:rPr>
      </w:pPr>
      <w:r w:rsidRPr="004F0152">
        <w:rPr>
          <w:rFonts w:ascii="Arial Narrow" w:hAnsi="Arial Narrow"/>
          <w:sz w:val="24"/>
          <w:szCs w:val="24"/>
        </w:rPr>
        <w:t>T.8.2. Develop “complete”/green streets, walkable neighborhoods, and complete/green public spaces</w:t>
      </w:r>
    </w:p>
    <w:p w14:paraId="3024E865" w14:textId="657E9319" w:rsidR="00507A61" w:rsidRPr="00B67C60" w:rsidRDefault="004F0152" w:rsidP="004F0152">
      <w:pPr>
        <w:ind w:left="284"/>
        <w:rPr>
          <w:rFonts w:ascii="Arial Narrow" w:hAnsi="Arial Narrow"/>
          <w:sz w:val="24"/>
          <w:szCs w:val="24"/>
        </w:rPr>
      </w:pPr>
      <w:r w:rsidRPr="004F0152">
        <w:rPr>
          <w:rFonts w:ascii="Arial Narrow" w:hAnsi="Arial Narrow"/>
          <w:sz w:val="24"/>
          <w:szCs w:val="24"/>
        </w:rPr>
        <w:t>T.8.3. Use transit-oriented development (TOD) planning and investments to increase neighborhood density and use of public transit</w:t>
      </w:r>
    </w:p>
    <w:p w14:paraId="12F441D6" w14:textId="5866AD89" w:rsidR="00507A61" w:rsidRDefault="004F0152" w:rsidP="00507A61">
      <w:pPr>
        <w:ind w:left="284"/>
        <w:rPr>
          <w:rFonts w:ascii="Arial Narrow" w:hAnsi="Arial Narrow"/>
          <w:sz w:val="24"/>
          <w:szCs w:val="24"/>
        </w:rPr>
      </w:pPr>
      <w:r w:rsidRPr="004F0152">
        <w:rPr>
          <w:rFonts w:ascii="Arial Narrow" w:hAnsi="Arial Narrow"/>
          <w:sz w:val="24"/>
          <w:szCs w:val="24"/>
        </w:rPr>
        <w:t>T.8.5. Redesign parking system regulations and infrastructure (e.g. eliminate/reduce parking spaces in high density/traffic areas)</w:t>
      </w:r>
    </w:p>
    <w:p w14:paraId="3F8E6BBC" w14:textId="09F3B0FB" w:rsidR="00507A61" w:rsidRPr="00B67C60" w:rsidRDefault="00507A61" w:rsidP="00507A61">
      <w:pPr>
        <w:rPr>
          <w:rFonts w:ascii="Arial Narrow" w:hAnsi="Arial Narrow"/>
          <w:b/>
          <w:sz w:val="24"/>
          <w:szCs w:val="24"/>
        </w:rPr>
      </w:pPr>
      <w:r w:rsidRPr="00B67C60">
        <w:rPr>
          <w:rFonts w:ascii="Arial Narrow" w:hAnsi="Arial Narrow"/>
          <w:b/>
          <w:sz w:val="24"/>
          <w:szCs w:val="24"/>
        </w:rPr>
        <w:t xml:space="preserve">T.3 – Coordinate discount purchase opportunities for </w:t>
      </w:r>
      <w:r>
        <w:rPr>
          <w:rFonts w:ascii="Arial Narrow" w:hAnsi="Arial Narrow"/>
          <w:b/>
          <w:sz w:val="24"/>
          <w:szCs w:val="24"/>
        </w:rPr>
        <w:t>residents</w:t>
      </w:r>
      <w:r w:rsidRPr="00B67C60">
        <w:rPr>
          <w:rFonts w:ascii="Arial Narrow" w:hAnsi="Arial Narrow"/>
          <w:b/>
          <w:sz w:val="24"/>
          <w:szCs w:val="24"/>
        </w:rPr>
        <w:t xml:space="preserve"> and businesses </w:t>
      </w:r>
    </w:p>
    <w:p w14:paraId="55C7DF97" w14:textId="37B72738" w:rsidR="00507A61" w:rsidRPr="00866CD2" w:rsidRDefault="004F0152" w:rsidP="00507A61">
      <w:pPr>
        <w:ind w:left="284"/>
        <w:rPr>
          <w:rFonts w:ascii="Arial Narrow" w:hAnsi="Arial Narrow"/>
          <w:sz w:val="24"/>
          <w:szCs w:val="24"/>
        </w:rPr>
      </w:pPr>
      <w:r w:rsidRPr="004F0152">
        <w:rPr>
          <w:rFonts w:ascii="Arial Narrow" w:hAnsi="Arial Narrow"/>
          <w:noProof/>
          <w:sz w:val="24"/>
          <w:szCs w:val="24"/>
          <w:lang w:eastAsia="en-CA"/>
        </w:rPr>
        <w:t>T.3.1. Allocate City staff time to coordinate and manage discount purchase opportunities (e.g. bulk buy programs) for strategically important technologies (e.g. electric vehicles)</w:t>
      </w:r>
    </w:p>
    <w:p w14:paraId="6FD98AF4" w14:textId="16E5B44C" w:rsidR="00507A61" w:rsidRPr="00B67C60" w:rsidRDefault="00507A61" w:rsidP="00507A61">
      <w:pPr>
        <w:rPr>
          <w:rFonts w:ascii="Arial Narrow" w:hAnsi="Arial Narrow"/>
          <w:b/>
          <w:sz w:val="24"/>
          <w:szCs w:val="24"/>
        </w:rPr>
      </w:pPr>
      <w:r w:rsidRPr="00B67C60">
        <w:rPr>
          <w:rFonts w:ascii="Arial Narrow" w:hAnsi="Arial Narrow"/>
          <w:b/>
          <w:sz w:val="24"/>
          <w:szCs w:val="24"/>
        </w:rPr>
        <w:t>T.4 – Increase the cost of fossil-fuel vehicles and reduce the cost of carbon-free vehicles</w:t>
      </w:r>
    </w:p>
    <w:p w14:paraId="19AB5C18" w14:textId="7726467C" w:rsidR="004F0152" w:rsidRPr="004F0152" w:rsidRDefault="004F0152" w:rsidP="004F0152">
      <w:pPr>
        <w:ind w:left="284"/>
        <w:rPr>
          <w:rFonts w:ascii="Arial Narrow" w:hAnsi="Arial Narrow"/>
          <w:sz w:val="24"/>
          <w:szCs w:val="24"/>
        </w:rPr>
      </w:pPr>
      <w:r w:rsidRPr="004F0152">
        <w:rPr>
          <w:rFonts w:ascii="Arial Narrow" w:hAnsi="Arial Narrow"/>
          <w:sz w:val="24"/>
          <w:szCs w:val="24"/>
        </w:rPr>
        <w:t xml:space="preserve">T.4.1. Establish congestion/climate taxes on fossil-fuel vehicles in designated areas </w:t>
      </w:r>
    </w:p>
    <w:p w14:paraId="39E1DE5B" w14:textId="6CABD48B" w:rsidR="00507A61" w:rsidRPr="00B67C60" w:rsidRDefault="004F0152" w:rsidP="004F0152">
      <w:pPr>
        <w:ind w:left="284"/>
        <w:rPr>
          <w:rFonts w:ascii="Arial Narrow" w:hAnsi="Arial Narrow"/>
          <w:sz w:val="24"/>
          <w:szCs w:val="24"/>
        </w:rPr>
      </w:pPr>
      <w:r w:rsidRPr="004F0152">
        <w:rPr>
          <w:rFonts w:ascii="Arial Narrow" w:hAnsi="Arial Narrow"/>
          <w:sz w:val="24"/>
          <w:szCs w:val="24"/>
        </w:rPr>
        <w:t>T.4.2. Establish taxes/fees on fossil fuel vehicles at purchase and/or registration</w:t>
      </w:r>
    </w:p>
    <w:p w14:paraId="291C13D7" w14:textId="3766496F" w:rsidR="00507A61" w:rsidRDefault="004F0152" w:rsidP="00507A61">
      <w:pPr>
        <w:ind w:left="284"/>
        <w:rPr>
          <w:rFonts w:ascii="Arial Narrow" w:hAnsi="Arial Narrow"/>
          <w:sz w:val="24"/>
          <w:szCs w:val="24"/>
        </w:rPr>
      </w:pPr>
      <w:r w:rsidRPr="004F0152">
        <w:rPr>
          <w:rFonts w:ascii="Arial Narrow" w:hAnsi="Arial Narrow"/>
          <w:sz w:val="24"/>
          <w:szCs w:val="24"/>
        </w:rPr>
        <w:t>T.4.4. Provide zero emission vehicle purchase incentives (e.g. rebates/tax credits)</w:t>
      </w:r>
    </w:p>
    <w:p w14:paraId="1C73F64A" w14:textId="6878B6E9" w:rsidR="00B168DE" w:rsidRPr="00B67C60" w:rsidRDefault="00B168DE" w:rsidP="00B168DE">
      <w:pPr>
        <w:rPr>
          <w:rFonts w:ascii="Arial Narrow" w:hAnsi="Arial Narrow"/>
          <w:b/>
          <w:sz w:val="24"/>
          <w:szCs w:val="24"/>
        </w:rPr>
      </w:pPr>
      <w:r w:rsidRPr="00B168DE">
        <w:rPr>
          <w:rFonts w:ascii="Arial Narrow" w:hAnsi="Arial Narrow"/>
          <w:b/>
          <w:sz w:val="24"/>
          <w:szCs w:val="24"/>
        </w:rPr>
        <w:t>T.6. Invest in decarbonizing public transit and municipal government fleets</w:t>
      </w:r>
    </w:p>
    <w:p w14:paraId="7DAFA2EA" w14:textId="77777777" w:rsidR="00B168DE" w:rsidRPr="00B168DE" w:rsidRDefault="00B168DE" w:rsidP="00B168DE">
      <w:pPr>
        <w:ind w:left="284"/>
        <w:rPr>
          <w:rFonts w:ascii="Arial Narrow" w:hAnsi="Arial Narrow"/>
          <w:sz w:val="24"/>
          <w:szCs w:val="24"/>
        </w:rPr>
      </w:pPr>
      <w:r w:rsidRPr="00B168DE">
        <w:rPr>
          <w:rFonts w:ascii="Arial Narrow" w:hAnsi="Arial Narrow"/>
          <w:sz w:val="24"/>
          <w:szCs w:val="24"/>
        </w:rPr>
        <w:t>T.6.1. Convert public transit to no- to low-carbon energy (electric, hybrid, hydrogen)</w:t>
      </w:r>
    </w:p>
    <w:p w14:paraId="5609E750" w14:textId="77777777" w:rsidR="00B168DE" w:rsidRPr="00B168DE" w:rsidRDefault="00B168DE" w:rsidP="00B168DE">
      <w:pPr>
        <w:ind w:left="284"/>
        <w:rPr>
          <w:rFonts w:ascii="Arial Narrow" w:hAnsi="Arial Narrow"/>
          <w:sz w:val="24"/>
          <w:szCs w:val="24"/>
        </w:rPr>
      </w:pPr>
      <w:r w:rsidRPr="00B168DE">
        <w:rPr>
          <w:rFonts w:ascii="Arial Narrow" w:hAnsi="Arial Narrow"/>
          <w:sz w:val="24"/>
          <w:szCs w:val="24"/>
        </w:rPr>
        <w:t xml:space="preserve">T.6.2. Convert government fleets to no- to low-carbon energy </w:t>
      </w:r>
    </w:p>
    <w:p w14:paraId="58BBEDB9" w14:textId="54FBCF17" w:rsidR="00B168DE" w:rsidRDefault="00B168DE" w:rsidP="00B168DE">
      <w:pPr>
        <w:ind w:left="284"/>
        <w:rPr>
          <w:rFonts w:ascii="Arial Narrow" w:hAnsi="Arial Narrow"/>
          <w:sz w:val="24"/>
          <w:szCs w:val="24"/>
        </w:rPr>
      </w:pPr>
      <w:r w:rsidRPr="00B168DE">
        <w:rPr>
          <w:rFonts w:ascii="Arial Narrow" w:hAnsi="Arial Narrow"/>
          <w:sz w:val="24"/>
          <w:szCs w:val="24"/>
        </w:rPr>
        <w:t>T.6.3. Encourage taxi fleets to transition to no- to low-carbon energy</w:t>
      </w:r>
    </w:p>
    <w:p w14:paraId="3531DD39" w14:textId="4398CB0A" w:rsidR="00507A61" w:rsidRDefault="00507A61" w:rsidP="00507A61">
      <w:pPr>
        <w:jc w:val="both"/>
        <w:rPr>
          <w:rFonts w:ascii="Arial Narrow" w:hAnsi="Arial Narrow"/>
          <w:sz w:val="24"/>
          <w:szCs w:val="24"/>
        </w:rPr>
      </w:pPr>
      <w:r w:rsidRPr="00BA07F2">
        <w:rPr>
          <w:rFonts w:ascii="Arial Narrow" w:hAnsi="Arial Narrow"/>
          <w:sz w:val="24"/>
          <w:szCs w:val="24"/>
        </w:rPr>
        <w:t xml:space="preserve">While these actions will support a transition to electric vehicles, transitioning the passenger vehicle sector to electric vehicles is a large, complicated, long-term challenge that requires significant action. Given the limited power the City has in mandating vehicle or fuel emissions standards, the strategies and actions above must be just one part of the City’s strategy. The other part involves persistent and coordinated (e.g. with other cities) efforts to lobby the state government to take more action to increase electric vehicle uptake. The central focus of this lobbying should be on getting </w:t>
      </w:r>
      <w:r>
        <w:rPr>
          <w:rFonts w:ascii="Arial Narrow" w:hAnsi="Arial Narrow"/>
          <w:sz w:val="24"/>
          <w:szCs w:val="24"/>
        </w:rPr>
        <w:t xml:space="preserve">Minnesota </w:t>
      </w:r>
      <w:r w:rsidRPr="00BA07F2">
        <w:rPr>
          <w:rFonts w:ascii="Arial Narrow" w:hAnsi="Arial Narrow"/>
          <w:sz w:val="24"/>
          <w:szCs w:val="24"/>
        </w:rPr>
        <w:t xml:space="preserve">to join California and eight other states in adopting California’s Zero Emission Vehicle Mandate (ZEV Mandate). The ZEV Mandate forces automakers to sell a minimum number of electric vehicles in the state each year or pay penalties, with the requirements steadily increasing and shifting towards more </w:t>
      </w:r>
      <w:r w:rsidR="00D47CE7">
        <w:rPr>
          <w:rFonts w:ascii="Arial Narrow" w:hAnsi="Arial Narrow"/>
          <w:sz w:val="24"/>
          <w:szCs w:val="24"/>
        </w:rPr>
        <w:t xml:space="preserve">vehicles powered entirely by electricity (battery electric vehicles) </w:t>
      </w:r>
      <w:r w:rsidRPr="00BA07F2">
        <w:rPr>
          <w:rFonts w:ascii="Arial Narrow" w:hAnsi="Arial Narrow"/>
          <w:sz w:val="24"/>
          <w:szCs w:val="24"/>
        </w:rPr>
        <w:t xml:space="preserve">and </w:t>
      </w:r>
      <w:r w:rsidR="00D47CE7">
        <w:rPr>
          <w:rFonts w:ascii="Arial Narrow" w:hAnsi="Arial Narrow"/>
          <w:sz w:val="24"/>
          <w:szCs w:val="24"/>
        </w:rPr>
        <w:t>fewer vehicles powered by a combination of electricity and fossil fuels (plug-in hybrid electric vehicles)</w:t>
      </w:r>
      <w:r w:rsidRPr="00BA07F2">
        <w:rPr>
          <w:rFonts w:ascii="Arial Narrow" w:hAnsi="Arial Narrow"/>
          <w:sz w:val="24"/>
          <w:szCs w:val="24"/>
        </w:rPr>
        <w:t>. In doing so, it puts the onus on automakers to invest in the success of electric vehicles in the state</w:t>
      </w:r>
      <w:r>
        <w:rPr>
          <w:rFonts w:ascii="Arial Narrow" w:hAnsi="Arial Narrow"/>
          <w:sz w:val="24"/>
          <w:szCs w:val="24"/>
        </w:rPr>
        <w:t>, with the state’s major cities likely getting the most benefit</w:t>
      </w:r>
      <w:r w:rsidRPr="00BA07F2">
        <w:rPr>
          <w:rFonts w:ascii="Arial Narrow" w:hAnsi="Arial Narrow"/>
          <w:sz w:val="24"/>
          <w:szCs w:val="24"/>
        </w:rPr>
        <w:t>.</w:t>
      </w:r>
    </w:p>
    <w:p w14:paraId="22179FD7" w14:textId="3227CB92" w:rsidR="00563F4C" w:rsidRDefault="00563F4C" w:rsidP="00563F4C">
      <w:pPr>
        <w:rPr>
          <w:rFonts w:ascii="Arial Narrow" w:hAnsi="Arial Narrow"/>
          <w:sz w:val="24"/>
          <w:szCs w:val="24"/>
        </w:rPr>
      </w:pPr>
      <w:r>
        <w:rPr>
          <w:rFonts w:ascii="Arial Narrow" w:hAnsi="Arial Narrow"/>
          <w:sz w:val="24"/>
          <w:szCs w:val="24"/>
        </w:rPr>
        <w:fldChar w:fldCharType="begin"/>
      </w:r>
      <w:r>
        <w:rPr>
          <w:rFonts w:ascii="Arial Narrow" w:hAnsi="Arial Narrow"/>
          <w:sz w:val="24"/>
          <w:szCs w:val="24"/>
        </w:rPr>
        <w:instrText xml:space="preserve"> REF _Ref459825777 \h </w:instrText>
      </w:r>
      <w:r>
        <w:rPr>
          <w:rFonts w:ascii="Arial Narrow" w:hAnsi="Arial Narrow"/>
          <w:sz w:val="24"/>
          <w:szCs w:val="24"/>
        </w:rPr>
      </w:r>
      <w:r>
        <w:rPr>
          <w:rFonts w:ascii="Arial Narrow" w:hAnsi="Arial Narrow"/>
          <w:sz w:val="24"/>
          <w:szCs w:val="24"/>
        </w:rPr>
        <w:fldChar w:fldCharType="separate"/>
      </w:r>
      <w:r w:rsidR="00394D4A" w:rsidRPr="00B93DF1">
        <w:rPr>
          <w:rFonts w:ascii="Arial Narrow" w:hAnsi="Arial Narrow"/>
          <w:sz w:val="24"/>
          <w:szCs w:val="24"/>
        </w:rPr>
        <w:t xml:space="preserve">Box </w:t>
      </w:r>
      <w:r w:rsidR="00394D4A">
        <w:rPr>
          <w:rFonts w:ascii="Arial Narrow" w:hAnsi="Arial Narrow"/>
          <w:noProof/>
          <w:sz w:val="24"/>
          <w:szCs w:val="24"/>
        </w:rPr>
        <w:t>3</w:t>
      </w:r>
      <w:r>
        <w:rPr>
          <w:rFonts w:ascii="Arial Narrow" w:hAnsi="Arial Narrow"/>
          <w:sz w:val="24"/>
          <w:szCs w:val="24"/>
        </w:rPr>
        <w:fldChar w:fldCharType="end"/>
      </w:r>
      <w:r>
        <w:rPr>
          <w:rFonts w:ascii="Arial Narrow" w:hAnsi="Arial Narrow"/>
          <w:sz w:val="24"/>
          <w:szCs w:val="24"/>
        </w:rPr>
        <w:t xml:space="preserve"> lists other actions the City could consider to support its transportation priorities.</w:t>
      </w:r>
      <w:r w:rsidR="00A76E6F">
        <w:rPr>
          <w:rFonts w:ascii="Arial Narrow" w:hAnsi="Arial Narrow"/>
          <w:sz w:val="24"/>
          <w:szCs w:val="24"/>
        </w:rPr>
        <w:t xml:space="preserve"> Action numbers (e.g. T</w:t>
      </w:r>
      <w:r w:rsidR="00A76E6F" w:rsidRPr="00A76E6F">
        <w:rPr>
          <w:rFonts w:ascii="Arial Narrow" w:hAnsi="Arial Narrow"/>
          <w:sz w:val="24"/>
          <w:szCs w:val="24"/>
        </w:rPr>
        <w:t>.</w:t>
      </w:r>
      <w:r w:rsidR="00A76E6F">
        <w:rPr>
          <w:rFonts w:ascii="Arial Narrow" w:hAnsi="Arial Narrow"/>
          <w:sz w:val="24"/>
          <w:szCs w:val="24"/>
        </w:rPr>
        <w:t>1</w:t>
      </w:r>
      <w:r w:rsidR="00A76E6F" w:rsidRPr="00A76E6F">
        <w:rPr>
          <w:rFonts w:ascii="Arial Narrow" w:hAnsi="Arial Narrow"/>
          <w:sz w:val="24"/>
          <w:szCs w:val="24"/>
        </w:rPr>
        <w:t>.1) correspond to the strategies and actions table found in the Appendix of the Playbook.</w:t>
      </w:r>
    </w:p>
    <w:tbl>
      <w:tblPr>
        <w:tblStyle w:val="GridTable4-Accent41"/>
        <w:tblW w:w="0" w:type="auto"/>
        <w:tblLook w:val="04A0" w:firstRow="1" w:lastRow="0" w:firstColumn="1" w:lastColumn="0" w:noHBand="0" w:noVBand="1"/>
      </w:tblPr>
      <w:tblGrid>
        <w:gridCol w:w="9350"/>
      </w:tblGrid>
      <w:tr w:rsidR="00ED6716" w14:paraId="58BA8ECF" w14:textId="77777777" w:rsidTr="005E24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tcPr>
          <w:p w14:paraId="6CECEFDB" w14:textId="77777777" w:rsidR="00ED6716" w:rsidRDefault="00ED6716" w:rsidP="005E24C2">
            <w:pPr>
              <w:rPr>
                <w:rFonts w:ascii="Arial Narrow" w:hAnsi="Arial Narrow"/>
                <w:sz w:val="24"/>
                <w:szCs w:val="24"/>
              </w:rPr>
            </w:pPr>
            <w:bookmarkStart w:id="27" w:name="_Ref459825777"/>
            <w:r w:rsidRPr="00B93DF1">
              <w:rPr>
                <w:rFonts w:ascii="Arial Narrow" w:hAnsi="Arial Narrow"/>
                <w:sz w:val="24"/>
                <w:szCs w:val="24"/>
              </w:rPr>
              <w:t xml:space="preserve">Box </w:t>
            </w:r>
            <w:r w:rsidRPr="00B93DF1">
              <w:rPr>
                <w:rFonts w:ascii="Arial Narrow" w:hAnsi="Arial Narrow"/>
                <w:sz w:val="24"/>
                <w:szCs w:val="24"/>
              </w:rPr>
              <w:fldChar w:fldCharType="begin"/>
            </w:r>
            <w:r w:rsidRPr="00B93DF1">
              <w:rPr>
                <w:rFonts w:ascii="Arial Narrow" w:hAnsi="Arial Narrow"/>
                <w:sz w:val="24"/>
                <w:szCs w:val="24"/>
              </w:rPr>
              <w:instrText xml:space="preserve"> SEQ Box \* ARABIC </w:instrText>
            </w:r>
            <w:r w:rsidRPr="00B93DF1">
              <w:rPr>
                <w:rFonts w:ascii="Arial Narrow" w:hAnsi="Arial Narrow"/>
                <w:sz w:val="24"/>
                <w:szCs w:val="24"/>
              </w:rPr>
              <w:fldChar w:fldCharType="separate"/>
            </w:r>
            <w:r w:rsidR="00394D4A">
              <w:rPr>
                <w:rFonts w:ascii="Arial Narrow" w:hAnsi="Arial Narrow"/>
                <w:noProof/>
                <w:sz w:val="24"/>
                <w:szCs w:val="24"/>
              </w:rPr>
              <w:t>3</w:t>
            </w:r>
            <w:r w:rsidRPr="00B93DF1">
              <w:rPr>
                <w:rFonts w:ascii="Arial Narrow" w:hAnsi="Arial Narrow"/>
                <w:sz w:val="24"/>
                <w:szCs w:val="24"/>
              </w:rPr>
              <w:fldChar w:fldCharType="end"/>
            </w:r>
            <w:bookmarkEnd w:id="27"/>
            <w:r w:rsidRPr="00B93DF1">
              <w:rPr>
                <w:rFonts w:ascii="Arial Narrow" w:hAnsi="Arial Narrow"/>
                <w:sz w:val="24"/>
                <w:szCs w:val="24"/>
              </w:rPr>
              <w:t xml:space="preserve"> </w:t>
            </w:r>
            <w:r>
              <w:rPr>
                <w:rFonts w:ascii="Arial Narrow" w:hAnsi="Arial Narrow"/>
                <w:sz w:val="24"/>
                <w:szCs w:val="24"/>
              </w:rPr>
              <w:t>Other Relevant Transportation Actions from the Playbook</w:t>
            </w:r>
          </w:p>
        </w:tc>
      </w:tr>
      <w:tr w:rsidR="00ED6716" w14:paraId="16850416" w14:textId="77777777" w:rsidTr="005E24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shd w:val="clear" w:color="auto" w:fill="auto"/>
          </w:tcPr>
          <w:p w14:paraId="4E714766"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T.1.1. Promote the recreational and health benefits of bicycling and walking</w:t>
            </w:r>
          </w:p>
          <w:p w14:paraId="6ACCFD07"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T.1.2. Promote household financial benefits for reduced car reliance</w:t>
            </w:r>
          </w:p>
          <w:p w14:paraId="5513E1BD"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T.1.3. Promote tele-working as an alternative to commuting</w:t>
            </w:r>
          </w:p>
          <w:p w14:paraId="6FFF1207" w14:textId="77777777" w:rsidR="008751AD" w:rsidRDefault="008751AD" w:rsidP="008751AD">
            <w:pPr>
              <w:ind w:left="29"/>
              <w:rPr>
                <w:rFonts w:ascii="Arial Narrow" w:hAnsi="Arial Narrow"/>
                <w:b w:val="0"/>
                <w:sz w:val="24"/>
                <w:szCs w:val="24"/>
              </w:rPr>
            </w:pPr>
            <w:r w:rsidRPr="008751AD">
              <w:rPr>
                <w:rFonts w:ascii="Arial Narrow" w:hAnsi="Arial Narrow"/>
                <w:b w:val="0"/>
                <w:sz w:val="24"/>
                <w:szCs w:val="24"/>
              </w:rPr>
              <w:t>T.1.4. Promote carpooling and use of High Occupancy Vehicle lanes</w:t>
            </w:r>
          </w:p>
          <w:p w14:paraId="3B7436DB" w14:textId="77777777" w:rsidR="008751AD" w:rsidRDefault="008751AD" w:rsidP="005E24C2">
            <w:pPr>
              <w:ind w:left="29"/>
              <w:rPr>
                <w:rFonts w:ascii="Arial Narrow" w:hAnsi="Arial Narrow"/>
                <w:b w:val="0"/>
                <w:sz w:val="24"/>
                <w:szCs w:val="24"/>
              </w:rPr>
            </w:pPr>
            <w:r w:rsidRPr="008751AD">
              <w:rPr>
                <w:rFonts w:ascii="Arial Narrow" w:hAnsi="Arial Narrow"/>
                <w:b w:val="0"/>
                <w:sz w:val="24"/>
                <w:szCs w:val="24"/>
              </w:rPr>
              <w:t>T.2.1. Support pilots and address regulatory barriers for on-demand busing, shared use mobility, driverless vehicles, etc.</w:t>
            </w:r>
          </w:p>
          <w:p w14:paraId="4861D5C7" w14:textId="77777777" w:rsidR="008751AD" w:rsidRDefault="008751AD" w:rsidP="005E24C2">
            <w:pPr>
              <w:ind w:left="29"/>
              <w:rPr>
                <w:rFonts w:ascii="Arial Narrow" w:hAnsi="Arial Narrow"/>
                <w:b w:val="0"/>
                <w:sz w:val="24"/>
                <w:szCs w:val="24"/>
              </w:rPr>
            </w:pPr>
            <w:r w:rsidRPr="008751AD">
              <w:rPr>
                <w:rFonts w:ascii="Arial Narrow" w:hAnsi="Arial Narrow"/>
                <w:b w:val="0"/>
                <w:sz w:val="24"/>
                <w:szCs w:val="24"/>
              </w:rPr>
              <w:t>T.2.3. Implement smart-transit systems to provide up-to-the-minute transit/parking/travel information to residents</w:t>
            </w:r>
          </w:p>
          <w:p w14:paraId="0A7A9BCD"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T.5.1. Establish regional road pricing (e.g. toll roads, dynamic pricing)</w:t>
            </w:r>
          </w:p>
          <w:p w14:paraId="1CB7C212"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T.5.2. Promote automobile insurance options that reward drivers for driving less</w:t>
            </w:r>
          </w:p>
          <w:p w14:paraId="509CE1AA"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T.5.3. Disincentivize off-street parking</w:t>
            </w:r>
          </w:p>
          <w:p w14:paraId="5CA90963" w14:textId="77777777" w:rsidR="008751AD" w:rsidRDefault="008751AD" w:rsidP="005E24C2">
            <w:pPr>
              <w:ind w:left="29"/>
              <w:rPr>
                <w:rFonts w:ascii="Arial Narrow" w:hAnsi="Arial Narrow"/>
                <w:b w:val="0"/>
                <w:sz w:val="24"/>
                <w:szCs w:val="24"/>
              </w:rPr>
            </w:pPr>
            <w:r w:rsidRPr="008751AD">
              <w:rPr>
                <w:rFonts w:ascii="Arial Narrow" w:hAnsi="Arial Narrow"/>
                <w:b w:val="0"/>
                <w:sz w:val="24"/>
                <w:szCs w:val="24"/>
              </w:rPr>
              <w:t>T.7.6. Support shift of freight transportation from road to rail and ship</w:t>
            </w:r>
          </w:p>
          <w:p w14:paraId="12E0E39B" w14:textId="77777777" w:rsidR="008751AD" w:rsidRPr="008751AD" w:rsidRDefault="008751AD" w:rsidP="008751AD">
            <w:pPr>
              <w:ind w:left="29"/>
              <w:rPr>
                <w:rFonts w:ascii="Arial Narrow" w:hAnsi="Arial Narrow"/>
                <w:b w:val="0"/>
                <w:sz w:val="24"/>
                <w:szCs w:val="24"/>
              </w:rPr>
            </w:pPr>
            <w:r w:rsidRPr="008751AD">
              <w:rPr>
                <w:rFonts w:ascii="Arial Narrow" w:hAnsi="Arial Narrow"/>
                <w:b w:val="0"/>
                <w:sz w:val="24"/>
                <w:szCs w:val="24"/>
              </w:rPr>
              <w:t>T.8.6. Redesign goods movement in city</w:t>
            </w:r>
          </w:p>
          <w:p w14:paraId="643669C8" w14:textId="588861B6" w:rsidR="00ED6716" w:rsidRDefault="008751AD" w:rsidP="008751AD">
            <w:pPr>
              <w:ind w:left="29"/>
              <w:rPr>
                <w:rFonts w:ascii="Arial Narrow" w:hAnsi="Arial Narrow"/>
                <w:sz w:val="24"/>
                <w:szCs w:val="24"/>
              </w:rPr>
            </w:pPr>
            <w:r w:rsidRPr="008751AD">
              <w:rPr>
                <w:rFonts w:ascii="Arial Narrow" w:hAnsi="Arial Narrow"/>
                <w:b w:val="0"/>
                <w:sz w:val="24"/>
                <w:szCs w:val="24"/>
              </w:rPr>
              <w:t>T.9.1. Establish reduced idling ordinances</w:t>
            </w:r>
          </w:p>
        </w:tc>
      </w:tr>
    </w:tbl>
    <w:p w14:paraId="71998724" w14:textId="757E881B" w:rsidR="008A47E8" w:rsidRDefault="008A47E8" w:rsidP="008A47E8">
      <w:bookmarkStart w:id="28" w:name="_Toc460348786"/>
    </w:p>
    <w:p w14:paraId="12386062" w14:textId="77777777" w:rsidR="008A47E8" w:rsidRDefault="008A47E8">
      <w:r>
        <w:br w:type="page"/>
      </w:r>
    </w:p>
    <w:p w14:paraId="0900A4E6" w14:textId="02A01C4A" w:rsidR="007F6676" w:rsidRDefault="007F6676" w:rsidP="00394C10">
      <w:pPr>
        <w:pStyle w:val="Heading3"/>
      </w:pPr>
      <w:r>
        <w:t>Summary</w:t>
      </w:r>
      <w:bookmarkEnd w:id="28"/>
    </w:p>
    <w:p w14:paraId="25BA90AE" w14:textId="3872F774" w:rsidR="008A030C" w:rsidRPr="008A030C" w:rsidRDefault="008A030C" w:rsidP="008A030C">
      <w:pPr>
        <w:spacing w:line="276" w:lineRule="auto"/>
        <w:jc w:val="both"/>
        <w:rPr>
          <w:rFonts w:ascii="Arial Narrow" w:hAnsi="Arial Narrow"/>
          <w:sz w:val="24"/>
          <w:szCs w:val="24"/>
        </w:rPr>
      </w:pPr>
      <w:r w:rsidRPr="008A030C">
        <w:rPr>
          <w:rFonts w:ascii="Arial Narrow" w:hAnsi="Arial Narrow"/>
          <w:sz w:val="24"/>
          <w:szCs w:val="24"/>
        </w:rPr>
        <w:t>The impact these programs, policies, and assumptions have on emissions from each sector is summarized in</w:t>
      </w:r>
      <w:r w:rsidR="009119B6">
        <w:rPr>
          <w:rFonts w:ascii="Arial Narrow" w:hAnsi="Arial Narrow"/>
          <w:sz w:val="24"/>
          <w:szCs w:val="24"/>
        </w:rPr>
        <w:t xml:space="preserve"> </w:t>
      </w:r>
      <w:r w:rsidR="009119B6">
        <w:rPr>
          <w:rFonts w:ascii="Arial Narrow" w:hAnsi="Arial Narrow"/>
          <w:sz w:val="24"/>
          <w:szCs w:val="24"/>
        </w:rPr>
        <w:fldChar w:fldCharType="begin"/>
      </w:r>
      <w:r w:rsidR="009119B6">
        <w:rPr>
          <w:rFonts w:ascii="Arial Narrow" w:hAnsi="Arial Narrow"/>
          <w:sz w:val="24"/>
          <w:szCs w:val="24"/>
        </w:rPr>
        <w:instrText xml:space="preserve"> REF _Ref456360034 \h  \* MERGEFORMAT </w:instrText>
      </w:r>
      <w:r w:rsidR="009119B6">
        <w:rPr>
          <w:rFonts w:ascii="Arial Narrow" w:hAnsi="Arial Narrow"/>
          <w:sz w:val="24"/>
          <w:szCs w:val="24"/>
        </w:rPr>
      </w:r>
      <w:r w:rsidR="009119B6">
        <w:rPr>
          <w:rFonts w:ascii="Arial Narrow" w:hAnsi="Arial Narrow"/>
          <w:sz w:val="24"/>
          <w:szCs w:val="24"/>
        </w:rPr>
        <w:fldChar w:fldCharType="separate"/>
      </w:r>
      <w:r w:rsidR="00394D4A" w:rsidRPr="00394D4A">
        <w:rPr>
          <w:rFonts w:ascii="Arial Narrow" w:hAnsi="Arial Narrow"/>
          <w:sz w:val="24"/>
          <w:szCs w:val="24"/>
        </w:rPr>
        <w:t xml:space="preserve">Table </w:t>
      </w:r>
      <w:r w:rsidR="00394D4A" w:rsidRPr="00394D4A">
        <w:rPr>
          <w:rFonts w:ascii="Arial Narrow" w:hAnsi="Arial Narrow"/>
          <w:sz w:val="24"/>
          <w:szCs w:val="24"/>
        </w:rPr>
        <w:t>2</w:t>
      </w:r>
      <w:r w:rsidR="009119B6">
        <w:rPr>
          <w:rFonts w:ascii="Arial Narrow" w:hAnsi="Arial Narrow"/>
          <w:sz w:val="24"/>
          <w:szCs w:val="24"/>
        </w:rPr>
        <w:fldChar w:fldCharType="end"/>
      </w:r>
      <w:r w:rsidRPr="008A030C">
        <w:rPr>
          <w:rFonts w:ascii="Arial Narrow" w:hAnsi="Arial Narrow"/>
          <w:sz w:val="24"/>
          <w:szCs w:val="24"/>
        </w:rPr>
        <w:t xml:space="preserve"> above and in the wedge diagram in</w:t>
      </w:r>
      <w:r w:rsidR="008A47E8">
        <w:rPr>
          <w:rFonts w:ascii="Arial Narrow" w:hAnsi="Arial Narrow"/>
          <w:sz w:val="24"/>
          <w:szCs w:val="24"/>
        </w:rPr>
        <w:t xml:space="preserve"> </w:t>
      </w:r>
      <w:r w:rsidR="008A47E8">
        <w:rPr>
          <w:rFonts w:ascii="Arial Narrow" w:hAnsi="Arial Narrow"/>
          <w:sz w:val="24"/>
          <w:szCs w:val="24"/>
        </w:rPr>
        <w:fldChar w:fldCharType="begin"/>
      </w:r>
      <w:r w:rsidR="008A47E8">
        <w:rPr>
          <w:rFonts w:ascii="Arial Narrow" w:hAnsi="Arial Narrow"/>
          <w:sz w:val="24"/>
          <w:szCs w:val="24"/>
        </w:rPr>
        <w:instrText xml:space="preserve"> REF _Ref460349083 \h </w:instrText>
      </w:r>
      <w:r w:rsidR="008A47E8">
        <w:rPr>
          <w:rFonts w:ascii="Arial Narrow" w:hAnsi="Arial Narrow"/>
          <w:sz w:val="24"/>
          <w:szCs w:val="24"/>
        </w:rPr>
      </w:r>
      <w:r w:rsidR="008A47E8">
        <w:rPr>
          <w:rFonts w:ascii="Arial Narrow" w:hAnsi="Arial Narrow"/>
          <w:sz w:val="24"/>
          <w:szCs w:val="24"/>
        </w:rPr>
        <w:instrText xml:space="preserve"> \* MERGEFORMAT </w:instrText>
      </w:r>
      <w:r w:rsidR="008A47E8">
        <w:rPr>
          <w:rFonts w:ascii="Arial Narrow" w:hAnsi="Arial Narrow"/>
          <w:sz w:val="24"/>
          <w:szCs w:val="24"/>
        </w:rPr>
        <w:fldChar w:fldCharType="separate"/>
      </w:r>
      <w:r w:rsidR="00394D4A" w:rsidRPr="00394D4A">
        <w:rPr>
          <w:rFonts w:ascii="Arial Narrow" w:hAnsi="Arial Narrow"/>
          <w:sz w:val="24"/>
          <w:szCs w:val="24"/>
        </w:rPr>
        <w:t xml:space="preserve">Figure </w:t>
      </w:r>
      <w:r w:rsidR="00394D4A" w:rsidRPr="00394D4A">
        <w:rPr>
          <w:rFonts w:ascii="Arial Narrow" w:hAnsi="Arial Narrow"/>
          <w:sz w:val="24"/>
          <w:szCs w:val="24"/>
        </w:rPr>
        <w:t>5</w:t>
      </w:r>
      <w:r w:rsidR="008A47E8">
        <w:rPr>
          <w:rFonts w:ascii="Arial Narrow" w:hAnsi="Arial Narrow"/>
          <w:sz w:val="24"/>
          <w:szCs w:val="24"/>
        </w:rPr>
        <w:fldChar w:fldCharType="end"/>
      </w:r>
      <w:r w:rsidRPr="008A030C">
        <w:rPr>
          <w:rFonts w:ascii="Arial Narrow" w:hAnsi="Arial Narrow"/>
          <w:sz w:val="24"/>
          <w:szCs w:val="24"/>
        </w:rPr>
        <w:t xml:space="preserve">. As in </w:t>
      </w:r>
      <w:r w:rsidR="008A47E8">
        <w:rPr>
          <w:rFonts w:ascii="Arial Narrow" w:hAnsi="Arial Narrow"/>
          <w:sz w:val="24"/>
          <w:szCs w:val="24"/>
        </w:rPr>
        <w:fldChar w:fldCharType="begin"/>
      </w:r>
      <w:r w:rsidR="008A47E8">
        <w:rPr>
          <w:rFonts w:ascii="Arial Narrow" w:hAnsi="Arial Narrow"/>
          <w:sz w:val="24"/>
          <w:szCs w:val="24"/>
        </w:rPr>
        <w:instrText xml:space="preserve"> REF _Ref460349106 \h </w:instrText>
      </w:r>
      <w:r w:rsidR="008A47E8">
        <w:rPr>
          <w:rFonts w:ascii="Arial Narrow" w:hAnsi="Arial Narrow"/>
          <w:sz w:val="24"/>
          <w:szCs w:val="24"/>
        </w:rPr>
      </w:r>
      <w:r w:rsidR="008A47E8">
        <w:rPr>
          <w:rFonts w:ascii="Arial Narrow" w:hAnsi="Arial Narrow"/>
          <w:sz w:val="24"/>
          <w:szCs w:val="24"/>
        </w:rPr>
        <w:instrText xml:space="preserve"> \* MERGEFORMAT </w:instrText>
      </w:r>
      <w:r w:rsidR="008A47E8">
        <w:rPr>
          <w:rFonts w:ascii="Arial Narrow" w:hAnsi="Arial Narrow"/>
          <w:sz w:val="24"/>
          <w:szCs w:val="24"/>
        </w:rPr>
        <w:fldChar w:fldCharType="separate"/>
      </w:r>
      <w:r w:rsidR="00394D4A" w:rsidRPr="00394D4A">
        <w:rPr>
          <w:rFonts w:ascii="Arial Narrow" w:hAnsi="Arial Narrow"/>
          <w:sz w:val="24"/>
          <w:szCs w:val="24"/>
        </w:rPr>
        <w:t xml:space="preserve">Figure </w:t>
      </w:r>
      <w:r w:rsidR="00394D4A" w:rsidRPr="00394D4A">
        <w:rPr>
          <w:rFonts w:ascii="Arial Narrow" w:hAnsi="Arial Narrow"/>
          <w:sz w:val="24"/>
          <w:szCs w:val="24"/>
        </w:rPr>
        <w:t>4</w:t>
      </w:r>
      <w:r w:rsidR="008A47E8">
        <w:rPr>
          <w:rFonts w:ascii="Arial Narrow" w:hAnsi="Arial Narrow"/>
          <w:sz w:val="24"/>
          <w:szCs w:val="24"/>
        </w:rPr>
        <w:fldChar w:fldCharType="end"/>
      </w:r>
      <w:r w:rsidR="009119B6">
        <w:rPr>
          <w:rFonts w:ascii="Arial Narrow" w:hAnsi="Arial Narrow"/>
          <w:sz w:val="24"/>
          <w:szCs w:val="24"/>
        </w:rPr>
        <w:t xml:space="preserve"> </w:t>
      </w:r>
      <w:r w:rsidRPr="008A030C">
        <w:rPr>
          <w:rFonts w:ascii="Arial Narrow" w:hAnsi="Arial Narrow"/>
          <w:sz w:val="24"/>
          <w:szCs w:val="24"/>
        </w:rPr>
        <w:t xml:space="preserve">above, each colored wedge represents the GHG emissions avoided or reduced by a set of policies, programs, or assumptions. </w:t>
      </w:r>
      <w:r w:rsidR="00563F4C" w:rsidRPr="00563F4C">
        <w:rPr>
          <w:rFonts w:ascii="Arial Narrow" w:hAnsi="Arial Narrow"/>
          <w:sz w:val="24"/>
          <w:szCs w:val="24"/>
        </w:rPr>
        <w:t xml:space="preserve">In the </w:t>
      </w:r>
      <w:r w:rsidR="00B50F30">
        <w:rPr>
          <w:rFonts w:ascii="Arial Narrow" w:hAnsi="Arial Narrow"/>
          <w:i/>
          <w:sz w:val="24"/>
          <w:szCs w:val="24"/>
        </w:rPr>
        <w:t>Baseline Scenario</w:t>
      </w:r>
      <w:r w:rsidR="00563F4C" w:rsidRPr="00563F4C">
        <w:rPr>
          <w:rFonts w:ascii="Arial Narrow" w:hAnsi="Arial Narrow"/>
          <w:sz w:val="24"/>
          <w:szCs w:val="24"/>
        </w:rPr>
        <w:t>, total GHG emissions are approximately</w:t>
      </w:r>
      <w:r w:rsidR="00563F4C">
        <w:rPr>
          <w:rFonts w:ascii="Arial Narrow" w:hAnsi="Arial Narrow"/>
          <w:sz w:val="24"/>
          <w:szCs w:val="24"/>
        </w:rPr>
        <w:t xml:space="preserve"> 6% lower in 2050 than in 2016</w:t>
      </w:r>
      <w:r w:rsidRPr="008A030C">
        <w:rPr>
          <w:rFonts w:ascii="Arial Narrow" w:hAnsi="Arial Narrow"/>
          <w:sz w:val="24"/>
          <w:szCs w:val="24"/>
        </w:rPr>
        <w:t xml:space="preserve">. The grey area at the bottom of the diagram represents those emissions that will remain </w:t>
      </w:r>
      <w:r w:rsidRPr="00563F4C">
        <w:rPr>
          <w:rFonts w:ascii="Arial Narrow" w:hAnsi="Arial Narrow"/>
          <w:sz w:val="24"/>
          <w:szCs w:val="24"/>
        </w:rPr>
        <w:t>after</w:t>
      </w:r>
      <w:r w:rsidRPr="008A030C">
        <w:rPr>
          <w:rFonts w:ascii="Arial Narrow" w:hAnsi="Arial Narrow"/>
          <w:sz w:val="24"/>
          <w:szCs w:val="24"/>
        </w:rPr>
        <w:t xml:space="preserve"> all existing programs, policies, and assumptions have been applied. </w:t>
      </w:r>
      <w:r w:rsidR="00563F4C" w:rsidRPr="00563F4C">
        <w:rPr>
          <w:rFonts w:ascii="Arial Narrow" w:hAnsi="Arial Narrow"/>
          <w:sz w:val="24"/>
          <w:szCs w:val="24"/>
        </w:rPr>
        <w:t xml:space="preserve">In the </w:t>
      </w:r>
      <w:r w:rsidR="00563F4C" w:rsidRPr="00563F4C">
        <w:rPr>
          <w:rFonts w:ascii="Arial Narrow" w:hAnsi="Arial Narrow"/>
          <w:i/>
          <w:sz w:val="24"/>
          <w:szCs w:val="24"/>
        </w:rPr>
        <w:t>Transformation Scenario</w:t>
      </w:r>
      <w:r w:rsidR="00563F4C" w:rsidRPr="00563F4C">
        <w:rPr>
          <w:rFonts w:ascii="Arial Narrow" w:hAnsi="Arial Narrow"/>
          <w:sz w:val="24"/>
          <w:szCs w:val="24"/>
        </w:rPr>
        <w:t>, GHG emissi</w:t>
      </w:r>
      <w:r w:rsidR="00563F4C">
        <w:rPr>
          <w:rFonts w:ascii="Arial Narrow" w:hAnsi="Arial Narrow"/>
          <w:sz w:val="24"/>
          <w:szCs w:val="24"/>
        </w:rPr>
        <w:t>ons in 2050 are approximately 66</w:t>
      </w:r>
      <w:r w:rsidR="00563F4C" w:rsidRPr="00563F4C">
        <w:rPr>
          <w:rFonts w:ascii="Arial Narrow" w:hAnsi="Arial Narrow"/>
          <w:sz w:val="24"/>
          <w:szCs w:val="24"/>
        </w:rPr>
        <w:t xml:space="preserve">% lower in 2050 than in 2016. </w:t>
      </w:r>
      <w:r w:rsidRPr="008A030C">
        <w:rPr>
          <w:rFonts w:ascii="Arial Narrow" w:hAnsi="Arial Narrow"/>
          <w:sz w:val="24"/>
          <w:szCs w:val="24"/>
        </w:rPr>
        <w:t>As discussed above, all GHG emissions in 2050 are due to remaining gasoline and diesel consumption in the transportation sector. Altogether, 2050 GHG emissions may be underestimated by assuming that all natural gas in buildings can be replaced by electricity, and overestimated due to assumptions about electric vehicle adoption (noted above).</w:t>
      </w:r>
      <w:r w:rsidR="008129C2">
        <w:rPr>
          <w:rFonts w:ascii="Arial Narrow" w:hAnsi="Arial Narrow"/>
          <w:sz w:val="24"/>
          <w:szCs w:val="24"/>
        </w:rPr>
        <w:t xml:space="preserve"> </w:t>
      </w:r>
      <w:r w:rsidR="008129C2" w:rsidRPr="008129C2">
        <w:rPr>
          <w:rFonts w:ascii="Arial Narrow" w:hAnsi="Arial Narrow"/>
          <w:sz w:val="24"/>
          <w:szCs w:val="24"/>
        </w:rPr>
        <w:t xml:space="preserve">Calculated from the top of the wedge in 2050, projected emissions reductions stem from </w:t>
      </w:r>
      <w:r w:rsidR="008129C2">
        <w:rPr>
          <w:rFonts w:ascii="Arial Narrow" w:hAnsi="Arial Narrow"/>
          <w:sz w:val="24"/>
          <w:szCs w:val="24"/>
        </w:rPr>
        <w:t xml:space="preserve">decarbonizing the electricity supply (28%), shifting mode shares to increased transit, biking, and walking (23%), retrofitting and decarbonizing existing buildings (15%), </w:t>
      </w:r>
      <w:r w:rsidR="004D2914">
        <w:rPr>
          <w:rFonts w:ascii="Arial Narrow" w:hAnsi="Arial Narrow"/>
          <w:sz w:val="24"/>
          <w:szCs w:val="24"/>
        </w:rPr>
        <w:t xml:space="preserve">and </w:t>
      </w:r>
      <w:r w:rsidR="008129C2">
        <w:rPr>
          <w:rFonts w:ascii="Arial Narrow" w:hAnsi="Arial Narrow"/>
          <w:sz w:val="24"/>
          <w:szCs w:val="24"/>
        </w:rPr>
        <w:t>implementing net zero energy codes (14%). Relatively smaller emissions reductions are achieved through electric vehicle adoption (7%) and installing zero emission district energy supply (3%). Although small, both of these are necessary (or very likely necessary) to decarbonize Lower North Loop.</w:t>
      </w:r>
    </w:p>
    <w:p w14:paraId="5A21EEBA" w14:textId="77777777" w:rsidR="00BD7525" w:rsidRDefault="00BD7525" w:rsidP="00BD7525">
      <w:pPr>
        <w:spacing w:line="276" w:lineRule="auto"/>
        <w:jc w:val="both"/>
        <w:rPr>
          <w:rFonts w:ascii="Arial Narrow" w:hAnsi="Arial Narrow"/>
        </w:rPr>
      </w:pPr>
      <w:r>
        <w:rPr>
          <w:rFonts w:ascii="Arial Narrow" w:hAnsi="Arial Narrow"/>
          <w:sz w:val="24"/>
          <w:szCs w:val="24"/>
        </w:rPr>
        <w:t xml:space="preserve">It should be noted that due to the complementary nature of some policies and programs, the relative size of different wedges can misrepresent the importance of certain actions. For example, the impact of electricity system decarbonization depends on fuel switching retrofits that shift buildings from natural gas to electricity. Similarly, the three wedges representing transportation account for the total GHG emissions reductions achieved in this urban system. The order of the calculations done in the model result in most GHG reductions being attributed to mode share and the CAFE standard, indicating that electric vehicle adoption has a limited impact. Done differently, the wedges could be different relative sizes. In actuality, decarbonization is only possible through a full transition to zero emission (e.g. electric) vehicles. </w:t>
      </w:r>
    </w:p>
    <w:p w14:paraId="7D2BF1E9" w14:textId="77777777" w:rsidR="00E529BC" w:rsidRDefault="00E529BC" w:rsidP="005913B6">
      <w:pPr>
        <w:spacing w:line="276" w:lineRule="auto"/>
        <w:jc w:val="both"/>
        <w:rPr>
          <w:rFonts w:ascii="Arial Narrow" w:eastAsia="MS Mincho" w:hAnsi="Arial Narrow"/>
          <w:i/>
          <w:iCs/>
        </w:rPr>
      </w:pPr>
      <w:bookmarkStart w:id="29" w:name="_Ref456362607"/>
      <w:bookmarkStart w:id="30" w:name="_Ref459284086"/>
      <w:r>
        <w:rPr>
          <w:rFonts w:ascii="Arial Narrow" w:hAnsi="Arial Narrow"/>
          <w:noProof/>
          <w:lang w:eastAsia="en-CA"/>
        </w:rPr>
        <w:drawing>
          <wp:inline distT="0" distB="0" distL="0" distR="0" wp14:anchorId="1A3F06F7" wp14:editId="4FD5E6FD">
            <wp:extent cx="5804658" cy="4366572"/>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19796" cy="4377960"/>
                    </a:xfrm>
                    <a:prstGeom prst="rect">
                      <a:avLst/>
                    </a:prstGeom>
                    <a:noFill/>
                  </pic:spPr>
                </pic:pic>
              </a:graphicData>
            </a:graphic>
          </wp:inline>
        </w:drawing>
      </w:r>
    </w:p>
    <w:p w14:paraId="334C6E5C" w14:textId="19EC6DCF" w:rsidR="00495AC8" w:rsidRPr="00495AC8" w:rsidRDefault="00495AC8" w:rsidP="005913B6">
      <w:pPr>
        <w:spacing w:line="276" w:lineRule="auto"/>
        <w:jc w:val="both"/>
        <w:rPr>
          <w:rFonts w:ascii="Arial Narrow" w:eastAsia="MS Mincho" w:hAnsi="Arial Narrow"/>
          <w:i/>
          <w:iCs/>
        </w:rPr>
      </w:pPr>
      <w:bookmarkStart w:id="31" w:name="_Ref460349083"/>
      <w:r w:rsidRPr="00495AC8">
        <w:rPr>
          <w:rFonts w:ascii="Arial Narrow" w:eastAsia="MS Mincho" w:hAnsi="Arial Narrow"/>
          <w:i/>
          <w:iCs/>
        </w:rPr>
        <w:t xml:space="preserve">Figure </w:t>
      </w:r>
      <w:r w:rsidRPr="00495AC8">
        <w:rPr>
          <w:rFonts w:ascii="Arial Narrow" w:eastAsia="MS Mincho" w:hAnsi="Arial Narrow"/>
          <w:i/>
          <w:iCs/>
        </w:rPr>
        <w:fldChar w:fldCharType="begin"/>
      </w:r>
      <w:r w:rsidRPr="00495AC8">
        <w:rPr>
          <w:rFonts w:ascii="Arial Narrow" w:eastAsia="MS Mincho" w:hAnsi="Arial Narrow"/>
          <w:i/>
          <w:iCs/>
        </w:rPr>
        <w:instrText xml:space="preserve"> SEQ Figure \* ARABIC </w:instrText>
      </w:r>
      <w:r w:rsidRPr="00495AC8">
        <w:rPr>
          <w:rFonts w:ascii="Arial Narrow" w:eastAsia="MS Mincho" w:hAnsi="Arial Narrow"/>
          <w:i/>
          <w:iCs/>
        </w:rPr>
        <w:fldChar w:fldCharType="separate"/>
      </w:r>
      <w:r w:rsidR="00394D4A">
        <w:rPr>
          <w:rFonts w:ascii="Arial Narrow" w:eastAsia="MS Mincho" w:hAnsi="Arial Narrow"/>
          <w:i/>
          <w:iCs/>
          <w:noProof/>
        </w:rPr>
        <w:t>5</w:t>
      </w:r>
      <w:r w:rsidRPr="00495AC8">
        <w:rPr>
          <w:rFonts w:ascii="Arial Narrow" w:eastAsia="MS Mincho" w:hAnsi="Arial Narrow"/>
          <w:i/>
          <w:iCs/>
        </w:rPr>
        <w:fldChar w:fldCharType="end"/>
      </w:r>
      <w:bookmarkEnd w:id="29"/>
      <w:bookmarkEnd w:id="30"/>
      <w:bookmarkEnd w:id="31"/>
      <w:r w:rsidRPr="00495AC8">
        <w:rPr>
          <w:rFonts w:ascii="Arial Narrow" w:eastAsia="MS Mincho" w:hAnsi="Arial Narrow"/>
          <w:i/>
          <w:iCs/>
        </w:rPr>
        <w:t xml:space="preserve"> </w:t>
      </w:r>
      <w:r w:rsidR="00A3265F">
        <w:rPr>
          <w:rFonts w:ascii="Arial Narrow" w:eastAsia="MS Mincho" w:hAnsi="Arial Narrow"/>
          <w:i/>
          <w:iCs/>
        </w:rPr>
        <w:t>Transformation S</w:t>
      </w:r>
      <w:r w:rsidRPr="00495AC8">
        <w:rPr>
          <w:rFonts w:ascii="Arial Narrow" w:eastAsia="MS Mincho" w:hAnsi="Arial Narrow"/>
          <w:i/>
          <w:iCs/>
        </w:rPr>
        <w:t xml:space="preserve">cenario GHG emissions projection for </w:t>
      </w:r>
      <w:r w:rsidR="00BD7C3B">
        <w:rPr>
          <w:rFonts w:ascii="Arial Narrow" w:eastAsia="MS Mincho" w:hAnsi="Arial Narrow"/>
          <w:i/>
          <w:iCs/>
        </w:rPr>
        <w:t>Lower North</w:t>
      </w:r>
      <w:r w:rsidR="00BD7C3B" w:rsidRPr="00495AC8">
        <w:rPr>
          <w:rFonts w:ascii="Arial Narrow" w:eastAsia="MS Mincho" w:hAnsi="Arial Narrow"/>
          <w:i/>
          <w:iCs/>
        </w:rPr>
        <w:t xml:space="preserve"> </w:t>
      </w:r>
      <w:r w:rsidRPr="00495AC8">
        <w:rPr>
          <w:rFonts w:ascii="Arial Narrow" w:eastAsia="MS Mincho" w:hAnsi="Arial Narrow"/>
          <w:i/>
          <w:iCs/>
        </w:rPr>
        <w:t>Loop, with wedges representing emissions avoided or reduced.</w:t>
      </w:r>
    </w:p>
    <w:p w14:paraId="4C48BFEA" w14:textId="44AE1EF4" w:rsidR="00433B24" w:rsidRDefault="00433B24" w:rsidP="00881B07">
      <w:pPr>
        <w:rPr>
          <w:rFonts w:ascii="Arial Narrow" w:hAnsi="Arial Narrow"/>
        </w:rPr>
      </w:pPr>
    </w:p>
    <w:p w14:paraId="62BCDF6D" w14:textId="0C346DA3" w:rsidR="00F400E8" w:rsidRPr="00B67C60" w:rsidRDefault="00F400E8" w:rsidP="00394C10">
      <w:pPr>
        <w:rPr>
          <w:rFonts w:ascii="Arial Narrow" w:hAnsi="Arial Narrow"/>
          <w:sz w:val="24"/>
          <w:szCs w:val="24"/>
        </w:rPr>
      </w:pPr>
    </w:p>
    <w:sectPr w:rsidR="00F400E8" w:rsidRPr="00B67C60" w:rsidSect="008A47E8">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FF3B3F" w14:textId="77777777" w:rsidR="00D64CDD" w:rsidRDefault="00D64CDD" w:rsidP="00F41162">
      <w:pPr>
        <w:spacing w:after="0" w:line="240" w:lineRule="auto"/>
      </w:pPr>
      <w:r>
        <w:separator/>
      </w:r>
    </w:p>
  </w:endnote>
  <w:endnote w:type="continuationSeparator" w:id="0">
    <w:p w14:paraId="2839AC62" w14:textId="77777777" w:rsidR="00D64CDD" w:rsidRDefault="00D64CDD" w:rsidP="00F411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Frutiger LT Std 57 Cn">
    <w:panose1 w:val="00000000000000000000"/>
    <w:charset w:val="00"/>
    <w:family w:val="swiss"/>
    <w:notTrueType/>
    <w:pitch w:val="variable"/>
    <w:sig w:usb0="800000AF" w:usb1="4000204A" w:usb2="00000000" w:usb3="00000000" w:csb0="00000001" w:csb1="00000000"/>
  </w:font>
  <w:font w:name="Segoe UI">
    <w:panose1 w:val="020B0502040204020203"/>
    <w:charset w:val="00"/>
    <w:family w:val="swiss"/>
    <w:pitch w:val="variable"/>
    <w:sig w:usb0="E10022FF" w:usb1="C000E47F" w:usb2="00000029" w:usb3="00000000" w:csb0="000001DF" w:csb1="00000000"/>
  </w:font>
  <w:font w:name="Frutiger LT Std 87 ExtraBlk Cn">
    <w:panose1 w:val="00000000000000000000"/>
    <w:charset w:val="00"/>
    <w:family w:val="swiss"/>
    <w:notTrueType/>
    <w:pitch w:val="variable"/>
    <w:sig w:usb0="800000AF" w:usb1="4000204A"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52389085"/>
      <w:docPartObj>
        <w:docPartGallery w:val="Page Numbers (Bottom of Page)"/>
        <w:docPartUnique/>
      </w:docPartObj>
    </w:sdtPr>
    <w:sdtEndPr>
      <w:rPr>
        <w:noProof/>
      </w:rPr>
    </w:sdtEndPr>
    <w:sdtContent>
      <w:p w14:paraId="294EDF1B" w14:textId="799B1F38" w:rsidR="00D64CDD" w:rsidRDefault="00D64CDD">
        <w:pPr>
          <w:pStyle w:val="Footer"/>
          <w:jc w:val="center"/>
        </w:pPr>
        <w:r w:rsidRPr="00E21B58">
          <w:rPr>
            <w:rFonts w:ascii="Arial Narrow" w:hAnsi="Arial Narrow"/>
          </w:rPr>
          <w:fldChar w:fldCharType="begin"/>
        </w:r>
        <w:r w:rsidRPr="00E21B58">
          <w:rPr>
            <w:rFonts w:ascii="Arial Narrow" w:hAnsi="Arial Narrow"/>
          </w:rPr>
          <w:instrText xml:space="preserve"> PAGE   \* MERGEFORMAT </w:instrText>
        </w:r>
        <w:r w:rsidRPr="00E21B58">
          <w:rPr>
            <w:rFonts w:ascii="Arial Narrow" w:hAnsi="Arial Narrow"/>
          </w:rPr>
          <w:fldChar w:fldCharType="separate"/>
        </w:r>
        <w:r w:rsidR="00394D4A">
          <w:rPr>
            <w:rFonts w:ascii="Arial Narrow" w:hAnsi="Arial Narrow"/>
            <w:noProof/>
          </w:rPr>
          <w:t>11</w:t>
        </w:r>
        <w:r w:rsidRPr="00E21B58">
          <w:rPr>
            <w:rFonts w:ascii="Arial Narrow" w:hAnsi="Arial Narrow"/>
            <w:noProof/>
          </w:rPr>
          <w:fldChar w:fldCharType="end"/>
        </w:r>
      </w:p>
    </w:sdtContent>
  </w:sdt>
  <w:p w14:paraId="48D8DC59" w14:textId="77777777" w:rsidR="00D64CDD" w:rsidRDefault="00D64CD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3920233"/>
      <w:docPartObj>
        <w:docPartGallery w:val="Page Numbers (Bottom of Page)"/>
        <w:docPartUnique/>
      </w:docPartObj>
    </w:sdtPr>
    <w:sdtEndPr>
      <w:rPr>
        <w:rFonts w:ascii="Arial Narrow" w:hAnsi="Arial Narrow"/>
        <w:noProof/>
      </w:rPr>
    </w:sdtEndPr>
    <w:sdtContent>
      <w:p w14:paraId="41C4CBC9" w14:textId="3AE87C85" w:rsidR="00D64CDD" w:rsidRPr="00E21B58" w:rsidRDefault="00D64CDD">
        <w:pPr>
          <w:pStyle w:val="Footer"/>
          <w:jc w:val="center"/>
          <w:rPr>
            <w:rFonts w:ascii="Arial Narrow" w:hAnsi="Arial Narrow"/>
          </w:rPr>
        </w:pPr>
        <w:r w:rsidRPr="00E21B58">
          <w:rPr>
            <w:rFonts w:ascii="Arial Narrow" w:hAnsi="Arial Narrow"/>
          </w:rPr>
          <w:fldChar w:fldCharType="begin"/>
        </w:r>
        <w:r w:rsidRPr="00E21B58">
          <w:rPr>
            <w:rFonts w:ascii="Arial Narrow" w:hAnsi="Arial Narrow"/>
          </w:rPr>
          <w:instrText xml:space="preserve"> PAGE   \* MERGEFORMAT </w:instrText>
        </w:r>
        <w:r w:rsidRPr="00E21B58">
          <w:rPr>
            <w:rFonts w:ascii="Arial Narrow" w:hAnsi="Arial Narrow"/>
          </w:rPr>
          <w:fldChar w:fldCharType="separate"/>
        </w:r>
        <w:r w:rsidR="00394D4A">
          <w:rPr>
            <w:rFonts w:ascii="Arial Narrow" w:hAnsi="Arial Narrow"/>
            <w:noProof/>
          </w:rPr>
          <w:t>7</w:t>
        </w:r>
        <w:r w:rsidRPr="00E21B58">
          <w:rPr>
            <w:rFonts w:ascii="Arial Narrow" w:hAnsi="Arial Narrow"/>
            <w:noProof/>
          </w:rPr>
          <w:fldChar w:fldCharType="end"/>
        </w:r>
      </w:p>
    </w:sdtContent>
  </w:sdt>
  <w:p w14:paraId="10F55CC6" w14:textId="77777777" w:rsidR="00D64CDD" w:rsidRDefault="00D64CD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909F37" w14:textId="77777777" w:rsidR="00D64CDD" w:rsidRDefault="00D64CDD" w:rsidP="00F41162">
      <w:pPr>
        <w:spacing w:after="0" w:line="240" w:lineRule="auto"/>
      </w:pPr>
      <w:r>
        <w:separator/>
      </w:r>
    </w:p>
  </w:footnote>
  <w:footnote w:type="continuationSeparator" w:id="0">
    <w:p w14:paraId="07103468" w14:textId="77777777" w:rsidR="00D64CDD" w:rsidRDefault="00D64CDD" w:rsidP="00F41162">
      <w:pPr>
        <w:spacing w:after="0" w:line="240" w:lineRule="auto"/>
      </w:pPr>
      <w:r>
        <w:continuationSeparator/>
      </w:r>
    </w:p>
  </w:footnote>
  <w:footnote w:id="1">
    <w:p w14:paraId="1CB416A0" w14:textId="77777777" w:rsidR="00D64CDD" w:rsidRPr="00433B24" w:rsidRDefault="00D64CDD" w:rsidP="00F645A9">
      <w:pPr>
        <w:pStyle w:val="FootnoteText"/>
        <w:rPr>
          <w:rFonts w:ascii="Arial Narrow" w:hAnsi="Arial Narrow"/>
        </w:rPr>
      </w:pPr>
      <w:r w:rsidRPr="00433B24">
        <w:rPr>
          <w:rStyle w:val="FootnoteReference"/>
          <w:rFonts w:ascii="Arial Narrow" w:hAnsi="Arial Narrow"/>
        </w:rPr>
        <w:footnoteRef/>
      </w:r>
      <w:r w:rsidRPr="00433B24">
        <w:rPr>
          <w:rFonts w:ascii="Arial Narrow" w:hAnsi="Arial Narrow"/>
        </w:rPr>
        <w:t xml:space="preserve"> Xcel Energy’s Upper Midwest 2016-2030 Resource Plan, Attachment B: Updated Strategist and Modeling Outputs, </w:t>
      </w:r>
      <w:r w:rsidRPr="00563F4C">
        <w:rPr>
          <w:rFonts w:ascii="Arial Narrow" w:hAnsi="Arial Narrow"/>
        </w:rPr>
        <w:t>https://www.xcelenergy.com/company/rates_&amp;_regulations/resource_plans/upper_midwest_2016-2030_resource_plan</w:t>
      </w:r>
      <w:r w:rsidRPr="00433B24">
        <w:rPr>
          <w:rFonts w:ascii="Arial Narrow" w:hAnsi="Arial Narrow"/>
        </w:rPr>
        <w:t xml:space="preserve">. </w:t>
      </w:r>
    </w:p>
  </w:footnote>
  <w:footnote w:id="2">
    <w:p w14:paraId="729649BB" w14:textId="486E1925" w:rsidR="00D64CDD" w:rsidRPr="00433B24" w:rsidRDefault="00D64CDD" w:rsidP="00C14039">
      <w:pPr>
        <w:pStyle w:val="FootnoteText"/>
        <w:rPr>
          <w:rFonts w:ascii="Arial Narrow" w:hAnsi="Arial Narrow"/>
        </w:rPr>
      </w:pPr>
      <w:r w:rsidRPr="00433B24">
        <w:rPr>
          <w:rStyle w:val="FootnoteReference"/>
          <w:rFonts w:ascii="Arial Narrow" w:hAnsi="Arial Narrow"/>
        </w:rPr>
        <w:footnoteRef/>
      </w:r>
      <w:r w:rsidRPr="00433B24">
        <w:rPr>
          <w:rFonts w:ascii="Arial Narrow" w:hAnsi="Arial Narrow"/>
        </w:rPr>
        <w:t xml:space="preserve"> Estimated from The International Council on Clean Transportation’s </w:t>
      </w:r>
      <w:r w:rsidRPr="00433B24">
        <w:rPr>
          <w:rFonts w:ascii="Arial Narrow" w:hAnsi="Arial Narrow"/>
          <w:i/>
        </w:rPr>
        <w:t>Assessment of Leading Electric Vehicle Promotion Activities in United States Cities</w:t>
      </w:r>
      <w:r w:rsidRPr="00433B24">
        <w:rPr>
          <w:rFonts w:ascii="Arial Narrow" w:hAnsi="Arial Narrow"/>
        </w:rPr>
        <w:t xml:space="preserve">, </w:t>
      </w:r>
      <w:r w:rsidRPr="00394C10">
        <w:rPr>
          <w:rFonts w:ascii="Arial Narrow" w:hAnsi="Arial Narrow"/>
        </w:rPr>
        <w:t>http://www.theicct.org/sites/default/files/publications/ICCT_EV-promotion-US-cities_20150729.pdf</w:t>
      </w:r>
      <w:r w:rsidRPr="00433B24">
        <w:rPr>
          <w:rFonts w:ascii="Arial Narrow" w:hAnsi="Arial Narrow"/>
        </w:rPr>
        <w:t xml:space="preserve">. </w:t>
      </w:r>
    </w:p>
  </w:footnote>
  <w:footnote w:id="3">
    <w:p w14:paraId="4A6CDEB4" w14:textId="28B48D70" w:rsidR="00D64CDD" w:rsidRDefault="00D64CDD">
      <w:pPr>
        <w:pStyle w:val="FootnoteText"/>
      </w:pPr>
      <w:r w:rsidRPr="00394C10">
        <w:rPr>
          <w:rFonts w:ascii="Arial Narrow" w:hAnsi="Arial Narrow"/>
        </w:rPr>
        <w:footnoteRef/>
      </w:r>
      <w:r w:rsidRPr="00394C10">
        <w:rPr>
          <w:rFonts w:ascii="Arial Narrow" w:hAnsi="Arial Narrow"/>
        </w:rPr>
        <w:t xml:space="preserve"> </w:t>
      </w:r>
      <w:r>
        <w:rPr>
          <w:rFonts w:ascii="Arial Narrow" w:hAnsi="Arial Narrow"/>
        </w:rPr>
        <w:t>The VMT growth rate was based on calculations done to calculate VMT growth in modeling for the East Arapahoe neighborhood’s Energy System Transformation Strategy for the City of Boulder. The growth calculation is based on a method used by the Institute for Transportation Engineers where VMT and mode share are the result of building uses (e.g. resident, commercial) and development typologies (e.g. low-rise, high-rise). Similar data was not available for Minneapolis.</w:t>
      </w:r>
    </w:p>
  </w:footnote>
  <w:footnote w:id="4">
    <w:p w14:paraId="4809DF3C" w14:textId="46B64C64" w:rsidR="00D64CDD" w:rsidRPr="002F5CEE" w:rsidRDefault="00D64CDD">
      <w:pPr>
        <w:pStyle w:val="FootnoteText"/>
        <w:rPr>
          <w:rFonts w:ascii="Arial Narrow" w:hAnsi="Arial Narrow"/>
        </w:rPr>
      </w:pPr>
      <w:r w:rsidRPr="002F5CEE">
        <w:rPr>
          <w:rStyle w:val="FootnoteReference"/>
          <w:rFonts w:ascii="Arial Narrow" w:hAnsi="Arial Narrow"/>
        </w:rPr>
        <w:footnoteRef/>
      </w:r>
      <w:r w:rsidRPr="002F5CEE">
        <w:rPr>
          <w:rFonts w:ascii="Arial Narrow" w:hAnsi="Arial Narrow"/>
        </w:rPr>
        <w:t xml:space="preserve"> The size of the system is based on eliminating natural gas from buildings that may not be addressed by fuel switching retrofits. Under this scenario, fuel switching retrofits eliminate approximately two thirds of baseline natural gas consumption in 2050 and the district energy system replaces the remaining third. The exact size of the system will depend on the thermal energy demand profile of the buildings.</w:t>
      </w:r>
    </w:p>
  </w:footnote>
  <w:footnote w:id="5">
    <w:p w14:paraId="0E3EEBD3" w14:textId="1B4FDD2E" w:rsidR="00D64CDD" w:rsidRPr="00523ADB" w:rsidRDefault="00D64CDD" w:rsidP="00647998">
      <w:pPr>
        <w:pStyle w:val="FootnoteText"/>
        <w:rPr>
          <w:rFonts w:ascii="Arial Narrow" w:hAnsi="Arial Narrow"/>
        </w:rPr>
      </w:pPr>
      <w:r w:rsidRPr="00523ADB">
        <w:rPr>
          <w:rStyle w:val="FootnoteReference"/>
          <w:rFonts w:ascii="Arial Narrow" w:hAnsi="Arial Narrow"/>
        </w:rPr>
        <w:footnoteRef/>
      </w:r>
      <w:r w:rsidRPr="00523ADB">
        <w:rPr>
          <w:rFonts w:ascii="Arial Narrow" w:hAnsi="Arial Narrow"/>
        </w:rPr>
        <w:t xml:space="preserve"> </w:t>
      </w:r>
      <w:r>
        <w:rPr>
          <w:rFonts w:ascii="Arial Narrow" w:hAnsi="Arial Narrow"/>
        </w:rPr>
        <w:t xml:space="preserve">Values used to define the code’s energy efficiency improvements are </w:t>
      </w:r>
      <w:r w:rsidRPr="00523ADB">
        <w:rPr>
          <w:rFonts w:ascii="Arial Narrow" w:hAnsi="Arial Narrow"/>
        </w:rPr>
        <w:t xml:space="preserve">primarily based on </w:t>
      </w:r>
      <w:r>
        <w:rPr>
          <w:rFonts w:ascii="Arial Narrow" w:hAnsi="Arial Narrow"/>
        </w:rPr>
        <w:t xml:space="preserve">Net Zero Energy code </w:t>
      </w:r>
      <w:r w:rsidRPr="00523ADB">
        <w:rPr>
          <w:rFonts w:ascii="Arial Narrow" w:hAnsi="Arial Narrow"/>
        </w:rPr>
        <w:t>energy use intensity (EUI) assumptions made in Boulder’s Climate Commitment Tool. EUI assumptions for later years have been made more conservative for this scenario</w:t>
      </w:r>
      <w:r>
        <w:rPr>
          <w:rFonts w:ascii="Arial Narrow" w:hAnsi="Arial Narrow"/>
        </w:rPr>
        <w:t xml:space="preserve">. For example, the 2030 EUI for office buildings is </w:t>
      </w:r>
      <w:r w:rsidRPr="00523ADB">
        <w:rPr>
          <w:rFonts w:ascii="Arial Narrow" w:hAnsi="Arial Narrow"/>
        </w:rPr>
        <w:t>10 kBtu/square foot</w:t>
      </w:r>
      <w:r>
        <w:rPr>
          <w:rFonts w:ascii="Arial Narrow" w:hAnsi="Arial Narrow"/>
        </w:rPr>
        <w:t xml:space="preserve"> in this scenario</w:t>
      </w:r>
      <w:r w:rsidRPr="00523ADB">
        <w:rPr>
          <w:rFonts w:ascii="Arial Narrow" w:hAnsi="Arial Narrow"/>
        </w:rPr>
        <w:t xml:space="preserve">, rather than the 0 kBtu/square foot assumed in the Tool. </w:t>
      </w:r>
      <w:r>
        <w:rPr>
          <w:rFonts w:ascii="Arial Narrow" w:hAnsi="Arial Narrow"/>
        </w:rPr>
        <w:t>EUI assumptions are frozen from 2030 onward.</w:t>
      </w:r>
    </w:p>
  </w:footnote>
  <w:footnote w:id="6">
    <w:p w14:paraId="1EE9C8A8" w14:textId="365BC96B" w:rsidR="00D64CDD" w:rsidRPr="003869C1" w:rsidRDefault="00D64CDD" w:rsidP="00647998">
      <w:pPr>
        <w:pStyle w:val="FootnoteText"/>
        <w:rPr>
          <w:rFonts w:ascii="Arial Narrow" w:hAnsi="Arial Narrow"/>
        </w:rPr>
      </w:pPr>
      <w:r w:rsidRPr="003869C1">
        <w:rPr>
          <w:rStyle w:val="FootnoteReference"/>
          <w:rFonts w:ascii="Arial Narrow" w:hAnsi="Arial Narrow"/>
        </w:rPr>
        <w:footnoteRef/>
      </w:r>
      <w:r w:rsidRPr="003869C1">
        <w:rPr>
          <w:rFonts w:ascii="Arial Narrow" w:hAnsi="Arial Narrow"/>
        </w:rPr>
        <w:t xml:space="preserve"> The natural gas-to-electricity conversion rate can be updated with additional information on energy end uses in buildings and equipment energy factors.</w:t>
      </w:r>
      <w:r>
        <w:rPr>
          <w:rFonts w:ascii="Arial Narrow" w:hAnsi="Arial Narrow"/>
        </w:rPr>
        <w:t xml:space="preserve"> </w:t>
      </w:r>
      <w:r w:rsidRPr="00EC7185">
        <w:rPr>
          <w:rFonts w:ascii="Arial Narrow" w:hAnsi="Arial Narrow"/>
        </w:rPr>
        <w:t>See here for a discussion of how fuel switching can lead to overall energy use reductions depending on building systems: http://cleantechnica.com/2016/05/23/fuel-switching-essential-step-towards-decarbonized-future/.</w:t>
      </w:r>
    </w:p>
  </w:footnote>
  <w:footnote w:id="7">
    <w:p w14:paraId="1DEE6F09" w14:textId="79A3E404" w:rsidR="00D64CDD" w:rsidRPr="00495AC8" w:rsidRDefault="00D64CDD">
      <w:pPr>
        <w:pStyle w:val="FootnoteText"/>
        <w:rPr>
          <w:rFonts w:ascii="Arial Narrow" w:hAnsi="Arial Narrow"/>
        </w:rPr>
      </w:pPr>
      <w:r w:rsidRPr="00495AC8">
        <w:rPr>
          <w:rStyle w:val="FootnoteReference"/>
          <w:rFonts w:ascii="Arial Narrow" w:hAnsi="Arial Narrow"/>
        </w:rPr>
        <w:footnoteRef/>
      </w:r>
      <w:r w:rsidRPr="00495AC8">
        <w:rPr>
          <w:rFonts w:ascii="Arial Narrow" w:hAnsi="Arial Narrow"/>
        </w:rPr>
        <w:t xml:space="preserve"> Minneapolis’ cycling target is 15% by 2025. This scenario assumes an additional 5% is walking.</w:t>
      </w:r>
    </w:p>
  </w:footnote>
  <w:footnote w:id="8">
    <w:p w14:paraId="5D1BFECA" w14:textId="77777777" w:rsidR="00D64CDD" w:rsidRPr="0023347A" w:rsidRDefault="00D64CDD" w:rsidP="00563F4C">
      <w:pPr>
        <w:pStyle w:val="FootnoteText"/>
        <w:rPr>
          <w:rFonts w:ascii="Arial Narrow" w:hAnsi="Arial Narrow"/>
        </w:rPr>
      </w:pPr>
      <w:r w:rsidRPr="0023347A">
        <w:rPr>
          <w:rStyle w:val="FootnoteReference"/>
          <w:rFonts w:ascii="Arial Narrow" w:hAnsi="Arial Narrow"/>
        </w:rPr>
        <w:footnoteRef/>
      </w:r>
      <w:r w:rsidRPr="0023347A">
        <w:rPr>
          <w:rFonts w:ascii="Arial Narrow" w:hAnsi="Arial Narrow"/>
        </w:rPr>
        <w:t xml:space="preserve"> Battery electric vehicles (BEVs) are powered entirely by electricity from the grid, while plug-in hybrid electric vehicles (PHEVs) are powered </w:t>
      </w:r>
      <w:r>
        <w:rPr>
          <w:rFonts w:ascii="Arial Narrow" w:hAnsi="Arial Narrow"/>
        </w:rPr>
        <w:t xml:space="preserve">first </w:t>
      </w:r>
      <w:r w:rsidRPr="0023347A">
        <w:rPr>
          <w:rFonts w:ascii="Arial Narrow" w:hAnsi="Arial Narrow"/>
        </w:rPr>
        <w:t xml:space="preserve">by </w:t>
      </w:r>
      <w:r>
        <w:rPr>
          <w:rFonts w:ascii="Arial Narrow" w:hAnsi="Arial Narrow"/>
        </w:rPr>
        <w:t>grid electricity</w:t>
      </w:r>
      <w:r w:rsidRPr="0023347A">
        <w:rPr>
          <w:rFonts w:ascii="Arial Narrow" w:hAnsi="Arial Narrow"/>
        </w:rPr>
        <w:t xml:space="preserve">, then </w:t>
      </w:r>
      <w:r>
        <w:rPr>
          <w:rFonts w:ascii="Arial Narrow" w:hAnsi="Arial Narrow"/>
        </w:rPr>
        <w:t xml:space="preserve">a </w:t>
      </w:r>
      <w:r w:rsidRPr="0023347A">
        <w:rPr>
          <w:rFonts w:ascii="Arial Narrow" w:hAnsi="Arial Narrow"/>
        </w:rPr>
        <w:t xml:space="preserve">hybrid </w:t>
      </w:r>
      <w:r>
        <w:rPr>
          <w:rFonts w:ascii="Arial Narrow" w:hAnsi="Arial Narrow"/>
        </w:rPr>
        <w:t xml:space="preserve">engine </w:t>
      </w:r>
      <w:r w:rsidRPr="0023347A">
        <w:rPr>
          <w:rFonts w:ascii="Arial Narrow" w:hAnsi="Arial Narrow"/>
        </w:rPr>
        <w:t>that relies on another fuel source (typically gasoline or diesel) once the battery is depleted. This scenario assumes 75% of electric vehicles adopted are BEVs and 25% are PHEVs.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41C0E"/>
    <w:multiLevelType w:val="hybridMultilevel"/>
    <w:tmpl w:val="D8303E58"/>
    <w:lvl w:ilvl="0" w:tplc="42A2C59C">
      <w:start w:val="1"/>
      <w:numFmt w:val="bullet"/>
      <w:lvlText w:val="•"/>
      <w:lvlJc w:val="left"/>
      <w:pPr>
        <w:tabs>
          <w:tab w:val="num" w:pos="720"/>
        </w:tabs>
        <w:ind w:left="720" w:hanging="360"/>
      </w:pPr>
      <w:rPr>
        <w:rFonts w:ascii="Arial" w:hAnsi="Arial" w:hint="default"/>
      </w:rPr>
    </w:lvl>
    <w:lvl w:ilvl="1" w:tplc="6652B502" w:tentative="1">
      <w:start w:val="1"/>
      <w:numFmt w:val="bullet"/>
      <w:lvlText w:val="•"/>
      <w:lvlJc w:val="left"/>
      <w:pPr>
        <w:tabs>
          <w:tab w:val="num" w:pos="1440"/>
        </w:tabs>
        <w:ind w:left="1440" w:hanging="360"/>
      </w:pPr>
      <w:rPr>
        <w:rFonts w:ascii="Arial" w:hAnsi="Arial" w:hint="default"/>
      </w:rPr>
    </w:lvl>
    <w:lvl w:ilvl="2" w:tplc="9D26377C" w:tentative="1">
      <w:start w:val="1"/>
      <w:numFmt w:val="bullet"/>
      <w:lvlText w:val="•"/>
      <w:lvlJc w:val="left"/>
      <w:pPr>
        <w:tabs>
          <w:tab w:val="num" w:pos="2160"/>
        </w:tabs>
        <w:ind w:left="2160" w:hanging="360"/>
      </w:pPr>
      <w:rPr>
        <w:rFonts w:ascii="Arial" w:hAnsi="Arial" w:hint="default"/>
      </w:rPr>
    </w:lvl>
    <w:lvl w:ilvl="3" w:tplc="D712873C" w:tentative="1">
      <w:start w:val="1"/>
      <w:numFmt w:val="bullet"/>
      <w:lvlText w:val="•"/>
      <w:lvlJc w:val="left"/>
      <w:pPr>
        <w:tabs>
          <w:tab w:val="num" w:pos="2880"/>
        </w:tabs>
        <w:ind w:left="2880" w:hanging="360"/>
      </w:pPr>
      <w:rPr>
        <w:rFonts w:ascii="Arial" w:hAnsi="Arial" w:hint="default"/>
      </w:rPr>
    </w:lvl>
    <w:lvl w:ilvl="4" w:tplc="AA0AE416" w:tentative="1">
      <w:start w:val="1"/>
      <w:numFmt w:val="bullet"/>
      <w:lvlText w:val="•"/>
      <w:lvlJc w:val="left"/>
      <w:pPr>
        <w:tabs>
          <w:tab w:val="num" w:pos="3600"/>
        </w:tabs>
        <w:ind w:left="3600" w:hanging="360"/>
      </w:pPr>
      <w:rPr>
        <w:rFonts w:ascii="Arial" w:hAnsi="Arial" w:hint="default"/>
      </w:rPr>
    </w:lvl>
    <w:lvl w:ilvl="5" w:tplc="E5FA37D6" w:tentative="1">
      <w:start w:val="1"/>
      <w:numFmt w:val="bullet"/>
      <w:lvlText w:val="•"/>
      <w:lvlJc w:val="left"/>
      <w:pPr>
        <w:tabs>
          <w:tab w:val="num" w:pos="4320"/>
        </w:tabs>
        <w:ind w:left="4320" w:hanging="360"/>
      </w:pPr>
      <w:rPr>
        <w:rFonts w:ascii="Arial" w:hAnsi="Arial" w:hint="default"/>
      </w:rPr>
    </w:lvl>
    <w:lvl w:ilvl="6" w:tplc="775EE36A" w:tentative="1">
      <w:start w:val="1"/>
      <w:numFmt w:val="bullet"/>
      <w:lvlText w:val="•"/>
      <w:lvlJc w:val="left"/>
      <w:pPr>
        <w:tabs>
          <w:tab w:val="num" w:pos="5040"/>
        </w:tabs>
        <w:ind w:left="5040" w:hanging="360"/>
      </w:pPr>
      <w:rPr>
        <w:rFonts w:ascii="Arial" w:hAnsi="Arial" w:hint="default"/>
      </w:rPr>
    </w:lvl>
    <w:lvl w:ilvl="7" w:tplc="FCC4B816" w:tentative="1">
      <w:start w:val="1"/>
      <w:numFmt w:val="bullet"/>
      <w:lvlText w:val="•"/>
      <w:lvlJc w:val="left"/>
      <w:pPr>
        <w:tabs>
          <w:tab w:val="num" w:pos="5760"/>
        </w:tabs>
        <w:ind w:left="5760" w:hanging="360"/>
      </w:pPr>
      <w:rPr>
        <w:rFonts w:ascii="Arial" w:hAnsi="Arial" w:hint="default"/>
      </w:rPr>
    </w:lvl>
    <w:lvl w:ilvl="8" w:tplc="AF9A283A"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8961CE8"/>
    <w:multiLevelType w:val="hybridMultilevel"/>
    <w:tmpl w:val="3974954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9CD3621"/>
    <w:multiLevelType w:val="hybridMultilevel"/>
    <w:tmpl w:val="9A820D30"/>
    <w:lvl w:ilvl="0" w:tplc="6C5ED872">
      <w:start w:val="1"/>
      <w:numFmt w:val="bullet"/>
      <w:lvlText w:val="•"/>
      <w:lvlJc w:val="left"/>
      <w:pPr>
        <w:tabs>
          <w:tab w:val="num" w:pos="720"/>
        </w:tabs>
        <w:ind w:left="720" w:hanging="360"/>
      </w:pPr>
      <w:rPr>
        <w:rFonts w:ascii="Arial" w:hAnsi="Arial" w:hint="default"/>
      </w:rPr>
    </w:lvl>
    <w:lvl w:ilvl="1" w:tplc="4D764124" w:tentative="1">
      <w:start w:val="1"/>
      <w:numFmt w:val="bullet"/>
      <w:lvlText w:val="•"/>
      <w:lvlJc w:val="left"/>
      <w:pPr>
        <w:tabs>
          <w:tab w:val="num" w:pos="1440"/>
        </w:tabs>
        <w:ind w:left="1440" w:hanging="360"/>
      </w:pPr>
      <w:rPr>
        <w:rFonts w:ascii="Arial" w:hAnsi="Arial" w:hint="default"/>
      </w:rPr>
    </w:lvl>
    <w:lvl w:ilvl="2" w:tplc="706693EC" w:tentative="1">
      <w:start w:val="1"/>
      <w:numFmt w:val="bullet"/>
      <w:lvlText w:val="•"/>
      <w:lvlJc w:val="left"/>
      <w:pPr>
        <w:tabs>
          <w:tab w:val="num" w:pos="2160"/>
        </w:tabs>
        <w:ind w:left="2160" w:hanging="360"/>
      </w:pPr>
      <w:rPr>
        <w:rFonts w:ascii="Arial" w:hAnsi="Arial" w:hint="default"/>
      </w:rPr>
    </w:lvl>
    <w:lvl w:ilvl="3" w:tplc="6ABE676C" w:tentative="1">
      <w:start w:val="1"/>
      <w:numFmt w:val="bullet"/>
      <w:lvlText w:val="•"/>
      <w:lvlJc w:val="left"/>
      <w:pPr>
        <w:tabs>
          <w:tab w:val="num" w:pos="2880"/>
        </w:tabs>
        <w:ind w:left="2880" w:hanging="360"/>
      </w:pPr>
      <w:rPr>
        <w:rFonts w:ascii="Arial" w:hAnsi="Arial" w:hint="default"/>
      </w:rPr>
    </w:lvl>
    <w:lvl w:ilvl="4" w:tplc="38A0C960" w:tentative="1">
      <w:start w:val="1"/>
      <w:numFmt w:val="bullet"/>
      <w:lvlText w:val="•"/>
      <w:lvlJc w:val="left"/>
      <w:pPr>
        <w:tabs>
          <w:tab w:val="num" w:pos="3600"/>
        </w:tabs>
        <w:ind w:left="3600" w:hanging="360"/>
      </w:pPr>
      <w:rPr>
        <w:rFonts w:ascii="Arial" w:hAnsi="Arial" w:hint="default"/>
      </w:rPr>
    </w:lvl>
    <w:lvl w:ilvl="5" w:tplc="2138C45C" w:tentative="1">
      <w:start w:val="1"/>
      <w:numFmt w:val="bullet"/>
      <w:lvlText w:val="•"/>
      <w:lvlJc w:val="left"/>
      <w:pPr>
        <w:tabs>
          <w:tab w:val="num" w:pos="4320"/>
        </w:tabs>
        <w:ind w:left="4320" w:hanging="360"/>
      </w:pPr>
      <w:rPr>
        <w:rFonts w:ascii="Arial" w:hAnsi="Arial" w:hint="default"/>
      </w:rPr>
    </w:lvl>
    <w:lvl w:ilvl="6" w:tplc="920A3202" w:tentative="1">
      <w:start w:val="1"/>
      <w:numFmt w:val="bullet"/>
      <w:lvlText w:val="•"/>
      <w:lvlJc w:val="left"/>
      <w:pPr>
        <w:tabs>
          <w:tab w:val="num" w:pos="5040"/>
        </w:tabs>
        <w:ind w:left="5040" w:hanging="360"/>
      </w:pPr>
      <w:rPr>
        <w:rFonts w:ascii="Arial" w:hAnsi="Arial" w:hint="default"/>
      </w:rPr>
    </w:lvl>
    <w:lvl w:ilvl="7" w:tplc="C5D2AC1A" w:tentative="1">
      <w:start w:val="1"/>
      <w:numFmt w:val="bullet"/>
      <w:lvlText w:val="•"/>
      <w:lvlJc w:val="left"/>
      <w:pPr>
        <w:tabs>
          <w:tab w:val="num" w:pos="5760"/>
        </w:tabs>
        <w:ind w:left="5760" w:hanging="360"/>
      </w:pPr>
      <w:rPr>
        <w:rFonts w:ascii="Arial" w:hAnsi="Arial" w:hint="default"/>
      </w:rPr>
    </w:lvl>
    <w:lvl w:ilvl="8" w:tplc="D778A8C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BAA28BA"/>
    <w:multiLevelType w:val="hybridMultilevel"/>
    <w:tmpl w:val="BD421F2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121F5A85"/>
    <w:multiLevelType w:val="multilevel"/>
    <w:tmpl w:val="63C62B9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13D75A03"/>
    <w:multiLevelType w:val="hybridMultilevel"/>
    <w:tmpl w:val="FD48740A"/>
    <w:lvl w:ilvl="0" w:tplc="0EBC7F4E">
      <w:start w:val="1"/>
      <w:numFmt w:val="bullet"/>
      <w:lvlText w:val="•"/>
      <w:lvlJc w:val="left"/>
      <w:pPr>
        <w:tabs>
          <w:tab w:val="num" w:pos="720"/>
        </w:tabs>
        <w:ind w:left="720" w:hanging="360"/>
      </w:pPr>
      <w:rPr>
        <w:rFonts w:ascii="Arial" w:hAnsi="Arial" w:hint="default"/>
      </w:rPr>
    </w:lvl>
    <w:lvl w:ilvl="1" w:tplc="5A64021C" w:tentative="1">
      <w:start w:val="1"/>
      <w:numFmt w:val="bullet"/>
      <w:lvlText w:val="•"/>
      <w:lvlJc w:val="left"/>
      <w:pPr>
        <w:tabs>
          <w:tab w:val="num" w:pos="1440"/>
        </w:tabs>
        <w:ind w:left="1440" w:hanging="360"/>
      </w:pPr>
      <w:rPr>
        <w:rFonts w:ascii="Arial" w:hAnsi="Arial" w:hint="default"/>
      </w:rPr>
    </w:lvl>
    <w:lvl w:ilvl="2" w:tplc="56927BE4" w:tentative="1">
      <w:start w:val="1"/>
      <w:numFmt w:val="bullet"/>
      <w:lvlText w:val="•"/>
      <w:lvlJc w:val="left"/>
      <w:pPr>
        <w:tabs>
          <w:tab w:val="num" w:pos="2160"/>
        </w:tabs>
        <w:ind w:left="2160" w:hanging="360"/>
      </w:pPr>
      <w:rPr>
        <w:rFonts w:ascii="Arial" w:hAnsi="Arial" w:hint="default"/>
      </w:rPr>
    </w:lvl>
    <w:lvl w:ilvl="3" w:tplc="6A56C678" w:tentative="1">
      <w:start w:val="1"/>
      <w:numFmt w:val="bullet"/>
      <w:lvlText w:val="•"/>
      <w:lvlJc w:val="left"/>
      <w:pPr>
        <w:tabs>
          <w:tab w:val="num" w:pos="2880"/>
        </w:tabs>
        <w:ind w:left="2880" w:hanging="360"/>
      </w:pPr>
      <w:rPr>
        <w:rFonts w:ascii="Arial" w:hAnsi="Arial" w:hint="default"/>
      </w:rPr>
    </w:lvl>
    <w:lvl w:ilvl="4" w:tplc="A4FCED2C" w:tentative="1">
      <w:start w:val="1"/>
      <w:numFmt w:val="bullet"/>
      <w:lvlText w:val="•"/>
      <w:lvlJc w:val="left"/>
      <w:pPr>
        <w:tabs>
          <w:tab w:val="num" w:pos="3600"/>
        </w:tabs>
        <w:ind w:left="3600" w:hanging="360"/>
      </w:pPr>
      <w:rPr>
        <w:rFonts w:ascii="Arial" w:hAnsi="Arial" w:hint="default"/>
      </w:rPr>
    </w:lvl>
    <w:lvl w:ilvl="5" w:tplc="5AC2521C" w:tentative="1">
      <w:start w:val="1"/>
      <w:numFmt w:val="bullet"/>
      <w:lvlText w:val="•"/>
      <w:lvlJc w:val="left"/>
      <w:pPr>
        <w:tabs>
          <w:tab w:val="num" w:pos="4320"/>
        </w:tabs>
        <w:ind w:left="4320" w:hanging="360"/>
      </w:pPr>
      <w:rPr>
        <w:rFonts w:ascii="Arial" w:hAnsi="Arial" w:hint="default"/>
      </w:rPr>
    </w:lvl>
    <w:lvl w:ilvl="6" w:tplc="5D088658" w:tentative="1">
      <w:start w:val="1"/>
      <w:numFmt w:val="bullet"/>
      <w:lvlText w:val="•"/>
      <w:lvlJc w:val="left"/>
      <w:pPr>
        <w:tabs>
          <w:tab w:val="num" w:pos="5040"/>
        </w:tabs>
        <w:ind w:left="5040" w:hanging="360"/>
      </w:pPr>
      <w:rPr>
        <w:rFonts w:ascii="Arial" w:hAnsi="Arial" w:hint="default"/>
      </w:rPr>
    </w:lvl>
    <w:lvl w:ilvl="7" w:tplc="84B4804A" w:tentative="1">
      <w:start w:val="1"/>
      <w:numFmt w:val="bullet"/>
      <w:lvlText w:val="•"/>
      <w:lvlJc w:val="left"/>
      <w:pPr>
        <w:tabs>
          <w:tab w:val="num" w:pos="5760"/>
        </w:tabs>
        <w:ind w:left="5760" w:hanging="360"/>
      </w:pPr>
      <w:rPr>
        <w:rFonts w:ascii="Arial" w:hAnsi="Arial" w:hint="default"/>
      </w:rPr>
    </w:lvl>
    <w:lvl w:ilvl="8" w:tplc="04AA6FA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D740F8C"/>
    <w:multiLevelType w:val="hybridMultilevel"/>
    <w:tmpl w:val="61D24F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237B63F5"/>
    <w:multiLevelType w:val="hybridMultilevel"/>
    <w:tmpl w:val="0B5C184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25BB1F0F"/>
    <w:multiLevelType w:val="hybridMultilevel"/>
    <w:tmpl w:val="7C82F58C"/>
    <w:lvl w:ilvl="0" w:tplc="7EDC36D0">
      <w:start w:val="1"/>
      <w:numFmt w:val="bullet"/>
      <w:lvlText w:val="•"/>
      <w:lvlJc w:val="left"/>
      <w:pPr>
        <w:tabs>
          <w:tab w:val="num" w:pos="720"/>
        </w:tabs>
        <w:ind w:left="720" w:hanging="360"/>
      </w:pPr>
      <w:rPr>
        <w:rFonts w:ascii="Arial" w:hAnsi="Arial" w:hint="default"/>
      </w:rPr>
    </w:lvl>
    <w:lvl w:ilvl="1" w:tplc="4D6A2AEA" w:tentative="1">
      <w:start w:val="1"/>
      <w:numFmt w:val="bullet"/>
      <w:lvlText w:val="•"/>
      <w:lvlJc w:val="left"/>
      <w:pPr>
        <w:tabs>
          <w:tab w:val="num" w:pos="1440"/>
        </w:tabs>
        <w:ind w:left="1440" w:hanging="360"/>
      </w:pPr>
      <w:rPr>
        <w:rFonts w:ascii="Arial" w:hAnsi="Arial" w:hint="default"/>
      </w:rPr>
    </w:lvl>
    <w:lvl w:ilvl="2" w:tplc="B450DB98" w:tentative="1">
      <w:start w:val="1"/>
      <w:numFmt w:val="bullet"/>
      <w:lvlText w:val="•"/>
      <w:lvlJc w:val="left"/>
      <w:pPr>
        <w:tabs>
          <w:tab w:val="num" w:pos="2160"/>
        </w:tabs>
        <w:ind w:left="2160" w:hanging="360"/>
      </w:pPr>
      <w:rPr>
        <w:rFonts w:ascii="Arial" w:hAnsi="Arial" w:hint="default"/>
      </w:rPr>
    </w:lvl>
    <w:lvl w:ilvl="3" w:tplc="0E4E0B76" w:tentative="1">
      <w:start w:val="1"/>
      <w:numFmt w:val="bullet"/>
      <w:lvlText w:val="•"/>
      <w:lvlJc w:val="left"/>
      <w:pPr>
        <w:tabs>
          <w:tab w:val="num" w:pos="2880"/>
        </w:tabs>
        <w:ind w:left="2880" w:hanging="360"/>
      </w:pPr>
      <w:rPr>
        <w:rFonts w:ascii="Arial" w:hAnsi="Arial" w:hint="default"/>
      </w:rPr>
    </w:lvl>
    <w:lvl w:ilvl="4" w:tplc="FA3EA116" w:tentative="1">
      <w:start w:val="1"/>
      <w:numFmt w:val="bullet"/>
      <w:lvlText w:val="•"/>
      <w:lvlJc w:val="left"/>
      <w:pPr>
        <w:tabs>
          <w:tab w:val="num" w:pos="3600"/>
        </w:tabs>
        <w:ind w:left="3600" w:hanging="360"/>
      </w:pPr>
      <w:rPr>
        <w:rFonts w:ascii="Arial" w:hAnsi="Arial" w:hint="default"/>
      </w:rPr>
    </w:lvl>
    <w:lvl w:ilvl="5" w:tplc="31BC802C" w:tentative="1">
      <w:start w:val="1"/>
      <w:numFmt w:val="bullet"/>
      <w:lvlText w:val="•"/>
      <w:lvlJc w:val="left"/>
      <w:pPr>
        <w:tabs>
          <w:tab w:val="num" w:pos="4320"/>
        </w:tabs>
        <w:ind w:left="4320" w:hanging="360"/>
      </w:pPr>
      <w:rPr>
        <w:rFonts w:ascii="Arial" w:hAnsi="Arial" w:hint="default"/>
      </w:rPr>
    </w:lvl>
    <w:lvl w:ilvl="6" w:tplc="A5DA4160" w:tentative="1">
      <w:start w:val="1"/>
      <w:numFmt w:val="bullet"/>
      <w:lvlText w:val="•"/>
      <w:lvlJc w:val="left"/>
      <w:pPr>
        <w:tabs>
          <w:tab w:val="num" w:pos="5040"/>
        </w:tabs>
        <w:ind w:left="5040" w:hanging="360"/>
      </w:pPr>
      <w:rPr>
        <w:rFonts w:ascii="Arial" w:hAnsi="Arial" w:hint="default"/>
      </w:rPr>
    </w:lvl>
    <w:lvl w:ilvl="7" w:tplc="4BAA18F0" w:tentative="1">
      <w:start w:val="1"/>
      <w:numFmt w:val="bullet"/>
      <w:lvlText w:val="•"/>
      <w:lvlJc w:val="left"/>
      <w:pPr>
        <w:tabs>
          <w:tab w:val="num" w:pos="5760"/>
        </w:tabs>
        <w:ind w:left="5760" w:hanging="360"/>
      </w:pPr>
      <w:rPr>
        <w:rFonts w:ascii="Arial" w:hAnsi="Arial" w:hint="default"/>
      </w:rPr>
    </w:lvl>
    <w:lvl w:ilvl="8" w:tplc="361669B2"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6914EB5"/>
    <w:multiLevelType w:val="multilevel"/>
    <w:tmpl w:val="7F56A9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D0E2E7D"/>
    <w:multiLevelType w:val="hybridMultilevel"/>
    <w:tmpl w:val="41CA2D3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2E327A58"/>
    <w:multiLevelType w:val="hybridMultilevel"/>
    <w:tmpl w:val="C436EE4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31E96D49"/>
    <w:multiLevelType w:val="multilevel"/>
    <w:tmpl w:val="55AAE62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34E16762"/>
    <w:multiLevelType w:val="hybridMultilevel"/>
    <w:tmpl w:val="A6407252"/>
    <w:lvl w:ilvl="0" w:tplc="4648A0EA">
      <w:start w:val="5"/>
      <w:numFmt w:val="bullet"/>
      <w:lvlText w:val="-"/>
      <w:lvlJc w:val="left"/>
      <w:pPr>
        <w:ind w:left="720" w:hanging="360"/>
      </w:pPr>
      <w:rPr>
        <w:rFonts w:ascii="Calibri" w:eastAsiaTheme="minorHAnsi" w:hAnsi="Calibri"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3CBB1BA7"/>
    <w:multiLevelType w:val="hybridMultilevel"/>
    <w:tmpl w:val="08EC8FA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3DA76570"/>
    <w:multiLevelType w:val="hybridMultilevel"/>
    <w:tmpl w:val="92DEC2D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3E1B5559"/>
    <w:multiLevelType w:val="hybridMultilevel"/>
    <w:tmpl w:val="F34419A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3E9D4D29"/>
    <w:multiLevelType w:val="hybridMultilevel"/>
    <w:tmpl w:val="B214523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3F6F3CDC"/>
    <w:multiLevelType w:val="hybridMultilevel"/>
    <w:tmpl w:val="E7A2EBA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40D20A89"/>
    <w:multiLevelType w:val="hybridMultilevel"/>
    <w:tmpl w:val="C1685F5E"/>
    <w:lvl w:ilvl="0" w:tplc="15AA90D4">
      <w:start w:val="1"/>
      <w:numFmt w:val="bullet"/>
      <w:lvlText w:val="•"/>
      <w:lvlJc w:val="left"/>
      <w:pPr>
        <w:tabs>
          <w:tab w:val="num" w:pos="720"/>
        </w:tabs>
        <w:ind w:left="720" w:hanging="360"/>
      </w:pPr>
      <w:rPr>
        <w:rFonts w:ascii="Arial" w:hAnsi="Arial" w:hint="default"/>
      </w:rPr>
    </w:lvl>
    <w:lvl w:ilvl="1" w:tplc="7D360638" w:tentative="1">
      <w:start w:val="1"/>
      <w:numFmt w:val="bullet"/>
      <w:lvlText w:val="•"/>
      <w:lvlJc w:val="left"/>
      <w:pPr>
        <w:tabs>
          <w:tab w:val="num" w:pos="1440"/>
        </w:tabs>
        <w:ind w:left="1440" w:hanging="360"/>
      </w:pPr>
      <w:rPr>
        <w:rFonts w:ascii="Arial" w:hAnsi="Arial" w:hint="default"/>
      </w:rPr>
    </w:lvl>
    <w:lvl w:ilvl="2" w:tplc="E4A29DB2" w:tentative="1">
      <w:start w:val="1"/>
      <w:numFmt w:val="bullet"/>
      <w:lvlText w:val="•"/>
      <w:lvlJc w:val="left"/>
      <w:pPr>
        <w:tabs>
          <w:tab w:val="num" w:pos="2160"/>
        </w:tabs>
        <w:ind w:left="2160" w:hanging="360"/>
      </w:pPr>
      <w:rPr>
        <w:rFonts w:ascii="Arial" w:hAnsi="Arial" w:hint="default"/>
      </w:rPr>
    </w:lvl>
    <w:lvl w:ilvl="3" w:tplc="2E8AAD4E" w:tentative="1">
      <w:start w:val="1"/>
      <w:numFmt w:val="bullet"/>
      <w:lvlText w:val="•"/>
      <w:lvlJc w:val="left"/>
      <w:pPr>
        <w:tabs>
          <w:tab w:val="num" w:pos="2880"/>
        </w:tabs>
        <w:ind w:left="2880" w:hanging="360"/>
      </w:pPr>
      <w:rPr>
        <w:rFonts w:ascii="Arial" w:hAnsi="Arial" w:hint="default"/>
      </w:rPr>
    </w:lvl>
    <w:lvl w:ilvl="4" w:tplc="00CA9756" w:tentative="1">
      <w:start w:val="1"/>
      <w:numFmt w:val="bullet"/>
      <w:lvlText w:val="•"/>
      <w:lvlJc w:val="left"/>
      <w:pPr>
        <w:tabs>
          <w:tab w:val="num" w:pos="3600"/>
        </w:tabs>
        <w:ind w:left="3600" w:hanging="360"/>
      </w:pPr>
      <w:rPr>
        <w:rFonts w:ascii="Arial" w:hAnsi="Arial" w:hint="default"/>
      </w:rPr>
    </w:lvl>
    <w:lvl w:ilvl="5" w:tplc="6A2216A2" w:tentative="1">
      <w:start w:val="1"/>
      <w:numFmt w:val="bullet"/>
      <w:lvlText w:val="•"/>
      <w:lvlJc w:val="left"/>
      <w:pPr>
        <w:tabs>
          <w:tab w:val="num" w:pos="4320"/>
        </w:tabs>
        <w:ind w:left="4320" w:hanging="360"/>
      </w:pPr>
      <w:rPr>
        <w:rFonts w:ascii="Arial" w:hAnsi="Arial" w:hint="default"/>
      </w:rPr>
    </w:lvl>
    <w:lvl w:ilvl="6" w:tplc="A1FE0F9C" w:tentative="1">
      <w:start w:val="1"/>
      <w:numFmt w:val="bullet"/>
      <w:lvlText w:val="•"/>
      <w:lvlJc w:val="left"/>
      <w:pPr>
        <w:tabs>
          <w:tab w:val="num" w:pos="5040"/>
        </w:tabs>
        <w:ind w:left="5040" w:hanging="360"/>
      </w:pPr>
      <w:rPr>
        <w:rFonts w:ascii="Arial" w:hAnsi="Arial" w:hint="default"/>
      </w:rPr>
    </w:lvl>
    <w:lvl w:ilvl="7" w:tplc="11649D1E" w:tentative="1">
      <w:start w:val="1"/>
      <w:numFmt w:val="bullet"/>
      <w:lvlText w:val="•"/>
      <w:lvlJc w:val="left"/>
      <w:pPr>
        <w:tabs>
          <w:tab w:val="num" w:pos="5760"/>
        </w:tabs>
        <w:ind w:left="5760" w:hanging="360"/>
      </w:pPr>
      <w:rPr>
        <w:rFonts w:ascii="Arial" w:hAnsi="Arial" w:hint="default"/>
      </w:rPr>
    </w:lvl>
    <w:lvl w:ilvl="8" w:tplc="14AA204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4275A4F"/>
    <w:multiLevelType w:val="hybridMultilevel"/>
    <w:tmpl w:val="5B88CCA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477C2856"/>
    <w:multiLevelType w:val="hybridMultilevel"/>
    <w:tmpl w:val="6D20C604"/>
    <w:lvl w:ilvl="0" w:tplc="2572DF2A">
      <w:start w:val="1"/>
      <w:numFmt w:val="bullet"/>
      <w:lvlText w:val=""/>
      <w:lvlJc w:val="left"/>
      <w:pPr>
        <w:ind w:left="720" w:hanging="360"/>
      </w:pPr>
      <w:rPr>
        <w:rFonts w:ascii="Wingdings" w:hAnsi="Wingdings" w:hint="default"/>
        <w:sz w:val="20"/>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50800DC3"/>
    <w:multiLevelType w:val="hybridMultilevel"/>
    <w:tmpl w:val="5372D602"/>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3" w15:restartNumberingAfterBreak="0">
    <w:nsid w:val="52123578"/>
    <w:multiLevelType w:val="hybridMultilevel"/>
    <w:tmpl w:val="19067230"/>
    <w:lvl w:ilvl="0" w:tplc="F9B67B4E">
      <w:numFmt w:val="bullet"/>
      <w:lvlText w:val="•"/>
      <w:lvlJc w:val="left"/>
      <w:pPr>
        <w:ind w:left="1755" w:hanging="1395"/>
      </w:pPr>
      <w:rPr>
        <w:rFonts w:ascii="Calibri" w:eastAsiaTheme="minorHAnsi" w:hAnsi="Calibri"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4" w15:restartNumberingAfterBreak="0">
    <w:nsid w:val="52665417"/>
    <w:multiLevelType w:val="hybridMultilevel"/>
    <w:tmpl w:val="73B8B390"/>
    <w:lvl w:ilvl="0" w:tplc="338A98B6">
      <w:start w:val="1"/>
      <w:numFmt w:val="bullet"/>
      <w:lvlText w:val="•"/>
      <w:lvlJc w:val="left"/>
      <w:pPr>
        <w:tabs>
          <w:tab w:val="num" w:pos="720"/>
        </w:tabs>
        <w:ind w:left="720" w:hanging="360"/>
      </w:pPr>
      <w:rPr>
        <w:rFonts w:ascii="Arial" w:hAnsi="Arial" w:hint="default"/>
      </w:rPr>
    </w:lvl>
    <w:lvl w:ilvl="1" w:tplc="EAF66AD2" w:tentative="1">
      <w:start w:val="1"/>
      <w:numFmt w:val="bullet"/>
      <w:lvlText w:val="•"/>
      <w:lvlJc w:val="left"/>
      <w:pPr>
        <w:tabs>
          <w:tab w:val="num" w:pos="1440"/>
        </w:tabs>
        <w:ind w:left="1440" w:hanging="360"/>
      </w:pPr>
      <w:rPr>
        <w:rFonts w:ascii="Arial" w:hAnsi="Arial" w:hint="default"/>
      </w:rPr>
    </w:lvl>
    <w:lvl w:ilvl="2" w:tplc="7E889F36" w:tentative="1">
      <w:start w:val="1"/>
      <w:numFmt w:val="bullet"/>
      <w:lvlText w:val="•"/>
      <w:lvlJc w:val="left"/>
      <w:pPr>
        <w:tabs>
          <w:tab w:val="num" w:pos="2160"/>
        </w:tabs>
        <w:ind w:left="2160" w:hanging="360"/>
      </w:pPr>
      <w:rPr>
        <w:rFonts w:ascii="Arial" w:hAnsi="Arial" w:hint="default"/>
      </w:rPr>
    </w:lvl>
    <w:lvl w:ilvl="3" w:tplc="48B2263A" w:tentative="1">
      <w:start w:val="1"/>
      <w:numFmt w:val="bullet"/>
      <w:lvlText w:val="•"/>
      <w:lvlJc w:val="left"/>
      <w:pPr>
        <w:tabs>
          <w:tab w:val="num" w:pos="2880"/>
        </w:tabs>
        <w:ind w:left="2880" w:hanging="360"/>
      </w:pPr>
      <w:rPr>
        <w:rFonts w:ascii="Arial" w:hAnsi="Arial" w:hint="default"/>
      </w:rPr>
    </w:lvl>
    <w:lvl w:ilvl="4" w:tplc="01044BDE" w:tentative="1">
      <w:start w:val="1"/>
      <w:numFmt w:val="bullet"/>
      <w:lvlText w:val="•"/>
      <w:lvlJc w:val="left"/>
      <w:pPr>
        <w:tabs>
          <w:tab w:val="num" w:pos="3600"/>
        </w:tabs>
        <w:ind w:left="3600" w:hanging="360"/>
      </w:pPr>
      <w:rPr>
        <w:rFonts w:ascii="Arial" w:hAnsi="Arial" w:hint="default"/>
      </w:rPr>
    </w:lvl>
    <w:lvl w:ilvl="5" w:tplc="DBF4B032" w:tentative="1">
      <w:start w:val="1"/>
      <w:numFmt w:val="bullet"/>
      <w:lvlText w:val="•"/>
      <w:lvlJc w:val="left"/>
      <w:pPr>
        <w:tabs>
          <w:tab w:val="num" w:pos="4320"/>
        </w:tabs>
        <w:ind w:left="4320" w:hanging="360"/>
      </w:pPr>
      <w:rPr>
        <w:rFonts w:ascii="Arial" w:hAnsi="Arial" w:hint="default"/>
      </w:rPr>
    </w:lvl>
    <w:lvl w:ilvl="6" w:tplc="14B00F90" w:tentative="1">
      <w:start w:val="1"/>
      <w:numFmt w:val="bullet"/>
      <w:lvlText w:val="•"/>
      <w:lvlJc w:val="left"/>
      <w:pPr>
        <w:tabs>
          <w:tab w:val="num" w:pos="5040"/>
        </w:tabs>
        <w:ind w:left="5040" w:hanging="360"/>
      </w:pPr>
      <w:rPr>
        <w:rFonts w:ascii="Arial" w:hAnsi="Arial" w:hint="default"/>
      </w:rPr>
    </w:lvl>
    <w:lvl w:ilvl="7" w:tplc="7D9059D6" w:tentative="1">
      <w:start w:val="1"/>
      <w:numFmt w:val="bullet"/>
      <w:lvlText w:val="•"/>
      <w:lvlJc w:val="left"/>
      <w:pPr>
        <w:tabs>
          <w:tab w:val="num" w:pos="5760"/>
        </w:tabs>
        <w:ind w:left="5760" w:hanging="360"/>
      </w:pPr>
      <w:rPr>
        <w:rFonts w:ascii="Arial" w:hAnsi="Arial" w:hint="default"/>
      </w:rPr>
    </w:lvl>
    <w:lvl w:ilvl="8" w:tplc="DE1ED3C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94862BE"/>
    <w:multiLevelType w:val="hybridMultilevel"/>
    <w:tmpl w:val="F85C670A"/>
    <w:lvl w:ilvl="0" w:tplc="5AC4776E">
      <w:start w:val="1"/>
      <w:numFmt w:val="bullet"/>
      <w:lvlText w:val="•"/>
      <w:lvlJc w:val="left"/>
      <w:pPr>
        <w:tabs>
          <w:tab w:val="num" w:pos="1352"/>
        </w:tabs>
        <w:ind w:left="1352" w:hanging="360"/>
      </w:pPr>
      <w:rPr>
        <w:rFonts w:ascii="Arial" w:hAnsi="Arial" w:hint="default"/>
        <w:color w:val="FFFFFF" w:themeColor="background1"/>
      </w:rPr>
    </w:lvl>
    <w:lvl w:ilvl="1" w:tplc="FD06670C" w:tentative="1">
      <w:start w:val="1"/>
      <w:numFmt w:val="bullet"/>
      <w:lvlText w:val="•"/>
      <w:lvlJc w:val="left"/>
      <w:pPr>
        <w:tabs>
          <w:tab w:val="num" w:pos="1440"/>
        </w:tabs>
        <w:ind w:left="1440" w:hanging="360"/>
      </w:pPr>
      <w:rPr>
        <w:rFonts w:ascii="Arial" w:hAnsi="Arial" w:hint="default"/>
      </w:rPr>
    </w:lvl>
    <w:lvl w:ilvl="2" w:tplc="9778549C" w:tentative="1">
      <w:start w:val="1"/>
      <w:numFmt w:val="bullet"/>
      <w:lvlText w:val="•"/>
      <w:lvlJc w:val="left"/>
      <w:pPr>
        <w:tabs>
          <w:tab w:val="num" w:pos="2160"/>
        </w:tabs>
        <w:ind w:left="2160" w:hanging="360"/>
      </w:pPr>
      <w:rPr>
        <w:rFonts w:ascii="Arial" w:hAnsi="Arial" w:hint="default"/>
      </w:rPr>
    </w:lvl>
    <w:lvl w:ilvl="3" w:tplc="598CAF4A" w:tentative="1">
      <w:start w:val="1"/>
      <w:numFmt w:val="bullet"/>
      <w:lvlText w:val="•"/>
      <w:lvlJc w:val="left"/>
      <w:pPr>
        <w:tabs>
          <w:tab w:val="num" w:pos="2880"/>
        </w:tabs>
        <w:ind w:left="2880" w:hanging="360"/>
      </w:pPr>
      <w:rPr>
        <w:rFonts w:ascii="Arial" w:hAnsi="Arial" w:hint="default"/>
      </w:rPr>
    </w:lvl>
    <w:lvl w:ilvl="4" w:tplc="57B6795C" w:tentative="1">
      <w:start w:val="1"/>
      <w:numFmt w:val="bullet"/>
      <w:lvlText w:val="•"/>
      <w:lvlJc w:val="left"/>
      <w:pPr>
        <w:tabs>
          <w:tab w:val="num" w:pos="3600"/>
        </w:tabs>
        <w:ind w:left="3600" w:hanging="360"/>
      </w:pPr>
      <w:rPr>
        <w:rFonts w:ascii="Arial" w:hAnsi="Arial" w:hint="default"/>
      </w:rPr>
    </w:lvl>
    <w:lvl w:ilvl="5" w:tplc="1CF2C2CE" w:tentative="1">
      <w:start w:val="1"/>
      <w:numFmt w:val="bullet"/>
      <w:lvlText w:val="•"/>
      <w:lvlJc w:val="left"/>
      <w:pPr>
        <w:tabs>
          <w:tab w:val="num" w:pos="4320"/>
        </w:tabs>
        <w:ind w:left="4320" w:hanging="360"/>
      </w:pPr>
      <w:rPr>
        <w:rFonts w:ascii="Arial" w:hAnsi="Arial" w:hint="default"/>
      </w:rPr>
    </w:lvl>
    <w:lvl w:ilvl="6" w:tplc="FB848D24" w:tentative="1">
      <w:start w:val="1"/>
      <w:numFmt w:val="bullet"/>
      <w:lvlText w:val="•"/>
      <w:lvlJc w:val="left"/>
      <w:pPr>
        <w:tabs>
          <w:tab w:val="num" w:pos="5040"/>
        </w:tabs>
        <w:ind w:left="5040" w:hanging="360"/>
      </w:pPr>
      <w:rPr>
        <w:rFonts w:ascii="Arial" w:hAnsi="Arial" w:hint="default"/>
      </w:rPr>
    </w:lvl>
    <w:lvl w:ilvl="7" w:tplc="2624AC8E" w:tentative="1">
      <w:start w:val="1"/>
      <w:numFmt w:val="bullet"/>
      <w:lvlText w:val="•"/>
      <w:lvlJc w:val="left"/>
      <w:pPr>
        <w:tabs>
          <w:tab w:val="num" w:pos="5760"/>
        </w:tabs>
        <w:ind w:left="5760" w:hanging="360"/>
      </w:pPr>
      <w:rPr>
        <w:rFonts w:ascii="Arial" w:hAnsi="Arial" w:hint="default"/>
      </w:rPr>
    </w:lvl>
    <w:lvl w:ilvl="8" w:tplc="2DE0735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A4D1706"/>
    <w:multiLevelType w:val="hybridMultilevel"/>
    <w:tmpl w:val="C85ACE72"/>
    <w:lvl w:ilvl="0" w:tplc="10090001">
      <w:start w:val="1"/>
      <w:numFmt w:val="bullet"/>
      <w:lvlText w:val=""/>
      <w:lvlJc w:val="left"/>
      <w:pPr>
        <w:ind w:left="776" w:hanging="360"/>
      </w:pPr>
      <w:rPr>
        <w:rFonts w:ascii="Symbol" w:hAnsi="Symbol" w:hint="default"/>
      </w:rPr>
    </w:lvl>
    <w:lvl w:ilvl="1" w:tplc="6472F1DE">
      <w:numFmt w:val="bullet"/>
      <w:lvlText w:val="•"/>
      <w:lvlJc w:val="left"/>
      <w:pPr>
        <w:ind w:left="1856" w:hanging="720"/>
      </w:pPr>
      <w:rPr>
        <w:rFonts w:ascii="Calibri" w:eastAsiaTheme="minorHAnsi" w:hAnsi="Calibri" w:cstheme="minorBidi" w:hint="default"/>
      </w:rPr>
    </w:lvl>
    <w:lvl w:ilvl="2" w:tplc="10090005" w:tentative="1">
      <w:start w:val="1"/>
      <w:numFmt w:val="bullet"/>
      <w:lvlText w:val=""/>
      <w:lvlJc w:val="left"/>
      <w:pPr>
        <w:ind w:left="2216" w:hanging="360"/>
      </w:pPr>
      <w:rPr>
        <w:rFonts w:ascii="Wingdings" w:hAnsi="Wingdings" w:hint="default"/>
      </w:rPr>
    </w:lvl>
    <w:lvl w:ilvl="3" w:tplc="10090001" w:tentative="1">
      <w:start w:val="1"/>
      <w:numFmt w:val="bullet"/>
      <w:lvlText w:val=""/>
      <w:lvlJc w:val="left"/>
      <w:pPr>
        <w:ind w:left="2936" w:hanging="360"/>
      </w:pPr>
      <w:rPr>
        <w:rFonts w:ascii="Symbol" w:hAnsi="Symbol" w:hint="default"/>
      </w:rPr>
    </w:lvl>
    <w:lvl w:ilvl="4" w:tplc="10090003" w:tentative="1">
      <w:start w:val="1"/>
      <w:numFmt w:val="bullet"/>
      <w:lvlText w:val="o"/>
      <w:lvlJc w:val="left"/>
      <w:pPr>
        <w:ind w:left="3656" w:hanging="360"/>
      </w:pPr>
      <w:rPr>
        <w:rFonts w:ascii="Courier New" w:hAnsi="Courier New" w:cs="Courier New" w:hint="default"/>
      </w:rPr>
    </w:lvl>
    <w:lvl w:ilvl="5" w:tplc="10090005" w:tentative="1">
      <w:start w:val="1"/>
      <w:numFmt w:val="bullet"/>
      <w:lvlText w:val=""/>
      <w:lvlJc w:val="left"/>
      <w:pPr>
        <w:ind w:left="4376" w:hanging="360"/>
      </w:pPr>
      <w:rPr>
        <w:rFonts w:ascii="Wingdings" w:hAnsi="Wingdings" w:hint="default"/>
      </w:rPr>
    </w:lvl>
    <w:lvl w:ilvl="6" w:tplc="10090001" w:tentative="1">
      <w:start w:val="1"/>
      <w:numFmt w:val="bullet"/>
      <w:lvlText w:val=""/>
      <w:lvlJc w:val="left"/>
      <w:pPr>
        <w:ind w:left="5096" w:hanging="360"/>
      </w:pPr>
      <w:rPr>
        <w:rFonts w:ascii="Symbol" w:hAnsi="Symbol" w:hint="default"/>
      </w:rPr>
    </w:lvl>
    <w:lvl w:ilvl="7" w:tplc="10090003" w:tentative="1">
      <w:start w:val="1"/>
      <w:numFmt w:val="bullet"/>
      <w:lvlText w:val="o"/>
      <w:lvlJc w:val="left"/>
      <w:pPr>
        <w:ind w:left="5816" w:hanging="360"/>
      </w:pPr>
      <w:rPr>
        <w:rFonts w:ascii="Courier New" w:hAnsi="Courier New" w:cs="Courier New" w:hint="default"/>
      </w:rPr>
    </w:lvl>
    <w:lvl w:ilvl="8" w:tplc="10090005" w:tentative="1">
      <w:start w:val="1"/>
      <w:numFmt w:val="bullet"/>
      <w:lvlText w:val=""/>
      <w:lvlJc w:val="left"/>
      <w:pPr>
        <w:ind w:left="6536" w:hanging="360"/>
      </w:pPr>
      <w:rPr>
        <w:rFonts w:ascii="Wingdings" w:hAnsi="Wingdings" w:hint="default"/>
      </w:rPr>
    </w:lvl>
  </w:abstractNum>
  <w:abstractNum w:abstractNumId="27" w15:restartNumberingAfterBreak="0">
    <w:nsid w:val="70C21A05"/>
    <w:multiLevelType w:val="hybridMultilevel"/>
    <w:tmpl w:val="BEF41882"/>
    <w:lvl w:ilvl="0" w:tplc="78E8E326">
      <w:start w:val="2"/>
      <w:numFmt w:val="bullet"/>
      <w:lvlText w:val="-"/>
      <w:lvlJc w:val="left"/>
      <w:pPr>
        <w:ind w:left="720" w:hanging="360"/>
      </w:pPr>
      <w:rPr>
        <w:rFonts w:ascii="Calibri" w:eastAsiaTheme="minorHAnsi" w:hAnsi="Calibri"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73736168"/>
    <w:multiLevelType w:val="hybridMultilevel"/>
    <w:tmpl w:val="4DFE912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15:restartNumberingAfterBreak="0">
    <w:nsid w:val="7DE877FA"/>
    <w:multiLevelType w:val="hybridMultilevel"/>
    <w:tmpl w:val="FBE051D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26"/>
  </w:num>
  <w:num w:numId="2">
    <w:abstractNumId w:val="11"/>
  </w:num>
  <w:num w:numId="3">
    <w:abstractNumId w:val="6"/>
  </w:num>
  <w:num w:numId="4">
    <w:abstractNumId w:val="3"/>
  </w:num>
  <w:num w:numId="5">
    <w:abstractNumId w:val="28"/>
  </w:num>
  <w:num w:numId="6">
    <w:abstractNumId w:val="15"/>
  </w:num>
  <w:num w:numId="7">
    <w:abstractNumId w:val="17"/>
  </w:num>
  <w:num w:numId="8">
    <w:abstractNumId w:val="7"/>
  </w:num>
  <w:num w:numId="9">
    <w:abstractNumId w:val="16"/>
  </w:num>
  <w:num w:numId="10">
    <w:abstractNumId w:val="14"/>
  </w:num>
  <w:num w:numId="11">
    <w:abstractNumId w:val="18"/>
  </w:num>
  <w:num w:numId="12">
    <w:abstractNumId w:val="10"/>
  </w:num>
  <w:num w:numId="13">
    <w:abstractNumId w:val="20"/>
  </w:num>
  <w:num w:numId="14">
    <w:abstractNumId w:val="1"/>
  </w:num>
  <w:num w:numId="15">
    <w:abstractNumId w:val="27"/>
  </w:num>
  <w:num w:numId="16">
    <w:abstractNumId w:val="13"/>
  </w:num>
  <w:num w:numId="17">
    <w:abstractNumId w:val="9"/>
  </w:num>
  <w:num w:numId="18">
    <w:abstractNumId w:val="4"/>
  </w:num>
  <w:num w:numId="19">
    <w:abstractNumId w:val="12"/>
  </w:num>
  <w:num w:numId="20">
    <w:abstractNumId w:val="12"/>
  </w:num>
  <w:num w:numId="21">
    <w:abstractNumId w:val="12"/>
  </w:num>
  <w:num w:numId="22">
    <w:abstractNumId w:val="22"/>
  </w:num>
  <w:num w:numId="23">
    <w:abstractNumId w:val="21"/>
  </w:num>
  <w:num w:numId="24">
    <w:abstractNumId w:val="29"/>
  </w:num>
  <w:num w:numId="25">
    <w:abstractNumId w:val="23"/>
  </w:num>
  <w:num w:numId="26">
    <w:abstractNumId w:val="24"/>
  </w:num>
  <w:num w:numId="27">
    <w:abstractNumId w:val="5"/>
  </w:num>
  <w:num w:numId="28">
    <w:abstractNumId w:val="8"/>
  </w:num>
  <w:num w:numId="29">
    <w:abstractNumId w:val="25"/>
  </w:num>
  <w:num w:numId="30">
    <w:abstractNumId w:val="19"/>
  </w:num>
  <w:num w:numId="31">
    <w:abstractNumId w:val="0"/>
  </w:num>
  <w:num w:numId="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3C8C"/>
    <w:rsid w:val="00006B21"/>
    <w:rsid w:val="00022434"/>
    <w:rsid w:val="00047187"/>
    <w:rsid w:val="000473FF"/>
    <w:rsid w:val="00092269"/>
    <w:rsid w:val="000B03EC"/>
    <w:rsid w:val="000E4670"/>
    <w:rsid w:val="001310A4"/>
    <w:rsid w:val="00142BD9"/>
    <w:rsid w:val="001620D3"/>
    <w:rsid w:val="00165726"/>
    <w:rsid w:val="0018113C"/>
    <w:rsid w:val="0018446B"/>
    <w:rsid w:val="001A161D"/>
    <w:rsid w:val="001A1D78"/>
    <w:rsid w:val="001A79D3"/>
    <w:rsid w:val="001B75DA"/>
    <w:rsid w:val="001D48A0"/>
    <w:rsid w:val="001D7220"/>
    <w:rsid w:val="001E4B56"/>
    <w:rsid w:val="00204B26"/>
    <w:rsid w:val="00215D29"/>
    <w:rsid w:val="002602B5"/>
    <w:rsid w:val="00262A2F"/>
    <w:rsid w:val="00263EC9"/>
    <w:rsid w:val="00273C8C"/>
    <w:rsid w:val="002854BD"/>
    <w:rsid w:val="002F5CEE"/>
    <w:rsid w:val="00306771"/>
    <w:rsid w:val="00321F75"/>
    <w:rsid w:val="003343D7"/>
    <w:rsid w:val="00334931"/>
    <w:rsid w:val="00336BB8"/>
    <w:rsid w:val="00342B40"/>
    <w:rsid w:val="003552E7"/>
    <w:rsid w:val="00355EDB"/>
    <w:rsid w:val="003803FE"/>
    <w:rsid w:val="00394C10"/>
    <w:rsid w:val="00394D4A"/>
    <w:rsid w:val="003A4539"/>
    <w:rsid w:val="003B1F11"/>
    <w:rsid w:val="003C359E"/>
    <w:rsid w:val="003E1657"/>
    <w:rsid w:val="003E3561"/>
    <w:rsid w:val="00405E93"/>
    <w:rsid w:val="00433B24"/>
    <w:rsid w:val="004367A8"/>
    <w:rsid w:val="0044158B"/>
    <w:rsid w:val="00447C81"/>
    <w:rsid w:val="004712A8"/>
    <w:rsid w:val="00473F8F"/>
    <w:rsid w:val="00480110"/>
    <w:rsid w:val="004809E3"/>
    <w:rsid w:val="00495AC8"/>
    <w:rsid w:val="004A222B"/>
    <w:rsid w:val="004A2C43"/>
    <w:rsid w:val="004A6083"/>
    <w:rsid w:val="004C6A68"/>
    <w:rsid w:val="004D2914"/>
    <w:rsid w:val="004D384B"/>
    <w:rsid w:val="004D6436"/>
    <w:rsid w:val="004F0152"/>
    <w:rsid w:val="00501633"/>
    <w:rsid w:val="00507A61"/>
    <w:rsid w:val="005126CF"/>
    <w:rsid w:val="00516B67"/>
    <w:rsid w:val="00526017"/>
    <w:rsid w:val="00531BB5"/>
    <w:rsid w:val="005428B7"/>
    <w:rsid w:val="00545D45"/>
    <w:rsid w:val="00563F4C"/>
    <w:rsid w:val="00570436"/>
    <w:rsid w:val="0058185B"/>
    <w:rsid w:val="00584CEA"/>
    <w:rsid w:val="005913B6"/>
    <w:rsid w:val="005913CD"/>
    <w:rsid w:val="005D33B1"/>
    <w:rsid w:val="005E2131"/>
    <w:rsid w:val="005E24C2"/>
    <w:rsid w:val="005F0229"/>
    <w:rsid w:val="00606702"/>
    <w:rsid w:val="006117AD"/>
    <w:rsid w:val="00633891"/>
    <w:rsid w:val="00647998"/>
    <w:rsid w:val="00652538"/>
    <w:rsid w:val="00654332"/>
    <w:rsid w:val="0066172D"/>
    <w:rsid w:val="0066381A"/>
    <w:rsid w:val="00685DE1"/>
    <w:rsid w:val="0068721D"/>
    <w:rsid w:val="00690AC4"/>
    <w:rsid w:val="006B2676"/>
    <w:rsid w:val="006B7AF6"/>
    <w:rsid w:val="00703F3C"/>
    <w:rsid w:val="007142F5"/>
    <w:rsid w:val="00714B7D"/>
    <w:rsid w:val="0072092A"/>
    <w:rsid w:val="00744F43"/>
    <w:rsid w:val="00750C18"/>
    <w:rsid w:val="00753C57"/>
    <w:rsid w:val="00782B14"/>
    <w:rsid w:val="007944B2"/>
    <w:rsid w:val="007A0077"/>
    <w:rsid w:val="007C580F"/>
    <w:rsid w:val="007D2004"/>
    <w:rsid w:val="007D4DEF"/>
    <w:rsid w:val="007E22B5"/>
    <w:rsid w:val="007E56EC"/>
    <w:rsid w:val="007F2379"/>
    <w:rsid w:val="007F6676"/>
    <w:rsid w:val="008129C2"/>
    <w:rsid w:val="00822613"/>
    <w:rsid w:val="008312D3"/>
    <w:rsid w:val="008419DA"/>
    <w:rsid w:val="00843F77"/>
    <w:rsid w:val="00866CD2"/>
    <w:rsid w:val="008751AD"/>
    <w:rsid w:val="00881B07"/>
    <w:rsid w:val="00891891"/>
    <w:rsid w:val="00893539"/>
    <w:rsid w:val="008A030C"/>
    <w:rsid w:val="008A47E8"/>
    <w:rsid w:val="008A66C0"/>
    <w:rsid w:val="008B2906"/>
    <w:rsid w:val="008B334D"/>
    <w:rsid w:val="008C5CD6"/>
    <w:rsid w:val="008C5E5B"/>
    <w:rsid w:val="008D48FE"/>
    <w:rsid w:val="008E3425"/>
    <w:rsid w:val="008F79BF"/>
    <w:rsid w:val="009119B6"/>
    <w:rsid w:val="009218AA"/>
    <w:rsid w:val="00923EF8"/>
    <w:rsid w:val="0093652F"/>
    <w:rsid w:val="00940830"/>
    <w:rsid w:val="00947ECA"/>
    <w:rsid w:val="0095601E"/>
    <w:rsid w:val="00986215"/>
    <w:rsid w:val="009A19BA"/>
    <w:rsid w:val="009B2AC5"/>
    <w:rsid w:val="009B53E8"/>
    <w:rsid w:val="009B69F6"/>
    <w:rsid w:val="009D1653"/>
    <w:rsid w:val="009E5D83"/>
    <w:rsid w:val="00A001CA"/>
    <w:rsid w:val="00A05709"/>
    <w:rsid w:val="00A3265F"/>
    <w:rsid w:val="00A36B00"/>
    <w:rsid w:val="00A467E7"/>
    <w:rsid w:val="00A76E6F"/>
    <w:rsid w:val="00A80CE7"/>
    <w:rsid w:val="00A81EC8"/>
    <w:rsid w:val="00A84757"/>
    <w:rsid w:val="00A91411"/>
    <w:rsid w:val="00A97758"/>
    <w:rsid w:val="00AB569D"/>
    <w:rsid w:val="00AC17EC"/>
    <w:rsid w:val="00AF732F"/>
    <w:rsid w:val="00B168DE"/>
    <w:rsid w:val="00B237A2"/>
    <w:rsid w:val="00B50F30"/>
    <w:rsid w:val="00B67C60"/>
    <w:rsid w:val="00B74ED0"/>
    <w:rsid w:val="00B75622"/>
    <w:rsid w:val="00B968F0"/>
    <w:rsid w:val="00BA07F2"/>
    <w:rsid w:val="00BA7197"/>
    <w:rsid w:val="00BB11F1"/>
    <w:rsid w:val="00BB77DD"/>
    <w:rsid w:val="00BC18AC"/>
    <w:rsid w:val="00BD7525"/>
    <w:rsid w:val="00BD7C3B"/>
    <w:rsid w:val="00BD7DB1"/>
    <w:rsid w:val="00BE0A86"/>
    <w:rsid w:val="00BF7587"/>
    <w:rsid w:val="00C112DE"/>
    <w:rsid w:val="00C14039"/>
    <w:rsid w:val="00C322D6"/>
    <w:rsid w:val="00C536F7"/>
    <w:rsid w:val="00CC5622"/>
    <w:rsid w:val="00CE50EA"/>
    <w:rsid w:val="00D10608"/>
    <w:rsid w:val="00D25D3A"/>
    <w:rsid w:val="00D47CE7"/>
    <w:rsid w:val="00D55DA0"/>
    <w:rsid w:val="00D64CDD"/>
    <w:rsid w:val="00D73DE2"/>
    <w:rsid w:val="00D7423A"/>
    <w:rsid w:val="00D84731"/>
    <w:rsid w:val="00DB29B4"/>
    <w:rsid w:val="00DC2393"/>
    <w:rsid w:val="00DC6485"/>
    <w:rsid w:val="00DD20A0"/>
    <w:rsid w:val="00DF19F0"/>
    <w:rsid w:val="00E21B58"/>
    <w:rsid w:val="00E22934"/>
    <w:rsid w:val="00E33433"/>
    <w:rsid w:val="00E41055"/>
    <w:rsid w:val="00E529BC"/>
    <w:rsid w:val="00E72FFD"/>
    <w:rsid w:val="00E82B99"/>
    <w:rsid w:val="00EA096B"/>
    <w:rsid w:val="00EA1481"/>
    <w:rsid w:val="00EA1794"/>
    <w:rsid w:val="00EC7185"/>
    <w:rsid w:val="00ED6716"/>
    <w:rsid w:val="00ED69AB"/>
    <w:rsid w:val="00F03517"/>
    <w:rsid w:val="00F03BC7"/>
    <w:rsid w:val="00F03C77"/>
    <w:rsid w:val="00F2279B"/>
    <w:rsid w:val="00F25D2E"/>
    <w:rsid w:val="00F3119D"/>
    <w:rsid w:val="00F37D37"/>
    <w:rsid w:val="00F400E8"/>
    <w:rsid w:val="00F41162"/>
    <w:rsid w:val="00F638E1"/>
    <w:rsid w:val="00F645A9"/>
    <w:rsid w:val="00F66C26"/>
    <w:rsid w:val="00F9441D"/>
    <w:rsid w:val="00FA0F48"/>
    <w:rsid w:val="00FA20DF"/>
    <w:rsid w:val="00FC596C"/>
    <w:rsid w:val="00FD1725"/>
    <w:rsid w:val="00FD1859"/>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32F262"/>
  <w15:docId w15:val="{4B65940E-89B3-4DE9-9CCD-1598272AFF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5601E"/>
  </w:style>
  <w:style w:type="paragraph" w:styleId="Heading1">
    <w:name w:val="heading 1"/>
    <w:basedOn w:val="Header1"/>
    <w:next w:val="Normal"/>
    <w:link w:val="Heading1Char"/>
    <w:uiPriority w:val="9"/>
    <w:qFormat/>
    <w:rsid w:val="00E72FFD"/>
    <w:pPr>
      <w:numPr>
        <w:ilvl w:val="0"/>
      </w:numPr>
      <w:outlineLvl w:val="0"/>
    </w:pPr>
    <w:rPr>
      <w:rFonts w:ascii="Arial Narrow" w:hAnsi="Arial Narrow"/>
      <w:b/>
      <w:caps/>
      <w:sz w:val="32"/>
    </w:rPr>
  </w:style>
  <w:style w:type="paragraph" w:styleId="Heading2">
    <w:name w:val="heading 2"/>
    <w:basedOn w:val="Normal"/>
    <w:next w:val="Normal"/>
    <w:link w:val="Heading2Char"/>
    <w:uiPriority w:val="9"/>
    <w:unhideWhenUsed/>
    <w:qFormat/>
    <w:rsid w:val="00F2279B"/>
    <w:pPr>
      <w:numPr>
        <w:ilvl w:val="1"/>
        <w:numId w:val="19"/>
      </w:numPr>
      <w:shd w:val="clear" w:color="auto" w:fill="FFFFFF" w:themeFill="background1"/>
      <w:spacing w:line="276" w:lineRule="auto"/>
      <w:jc w:val="both"/>
      <w:outlineLvl w:val="1"/>
    </w:pPr>
    <w:rPr>
      <w:rFonts w:ascii="Arial Narrow" w:hAnsi="Arial Narrow"/>
      <w:b/>
      <w:caps/>
      <w:sz w:val="24"/>
      <w:szCs w:val="24"/>
    </w:rPr>
  </w:style>
  <w:style w:type="paragraph" w:styleId="Heading3">
    <w:name w:val="heading 3"/>
    <w:basedOn w:val="Normal"/>
    <w:next w:val="Normal"/>
    <w:link w:val="Heading3Char"/>
    <w:uiPriority w:val="9"/>
    <w:unhideWhenUsed/>
    <w:qFormat/>
    <w:rsid w:val="00F37D37"/>
    <w:pPr>
      <w:spacing w:before="240" w:line="276" w:lineRule="auto"/>
      <w:ind w:left="720" w:hanging="720"/>
      <w:jc w:val="both"/>
      <w:outlineLvl w:val="2"/>
    </w:pPr>
    <w:rPr>
      <w:rFonts w:ascii="Arial Narrow" w:eastAsia="MS Mincho" w:hAnsi="Arial Narrow"/>
      <w:b/>
      <w:caps/>
      <w:sz w:val="24"/>
      <w:szCs w:val="24"/>
    </w:rPr>
  </w:style>
  <w:style w:type="paragraph" w:styleId="Heading4">
    <w:name w:val="heading 4"/>
    <w:basedOn w:val="Normal"/>
    <w:next w:val="Normal"/>
    <w:link w:val="Heading4Char"/>
    <w:uiPriority w:val="9"/>
    <w:semiHidden/>
    <w:unhideWhenUsed/>
    <w:qFormat/>
    <w:rsid w:val="009D1653"/>
    <w:pPr>
      <w:keepNext/>
      <w:keepLines/>
      <w:numPr>
        <w:ilvl w:val="3"/>
        <w:numId w:val="19"/>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9D1653"/>
    <w:pPr>
      <w:keepNext/>
      <w:keepLines/>
      <w:numPr>
        <w:ilvl w:val="4"/>
        <w:numId w:val="19"/>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9D1653"/>
    <w:pPr>
      <w:keepNext/>
      <w:keepLines/>
      <w:numPr>
        <w:ilvl w:val="5"/>
        <w:numId w:val="19"/>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9D1653"/>
    <w:pPr>
      <w:keepNext/>
      <w:keepLines/>
      <w:numPr>
        <w:ilvl w:val="6"/>
        <w:numId w:val="19"/>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9D1653"/>
    <w:pPr>
      <w:keepNext/>
      <w:keepLines/>
      <w:numPr>
        <w:ilvl w:val="7"/>
        <w:numId w:val="1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D1653"/>
    <w:pPr>
      <w:keepNext/>
      <w:keepLines/>
      <w:numPr>
        <w:ilvl w:val="8"/>
        <w:numId w:val="1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F732F"/>
    <w:pPr>
      <w:ind w:left="720"/>
      <w:contextualSpacing/>
    </w:pPr>
  </w:style>
  <w:style w:type="paragraph" w:customStyle="1" w:styleId="Header1">
    <w:name w:val="Header 1"/>
    <w:basedOn w:val="Heading2"/>
    <w:link w:val="Header1Char"/>
    <w:qFormat/>
    <w:rsid w:val="00AF732F"/>
    <w:rPr>
      <w:rFonts w:ascii="Frutiger LT Std 57 Cn" w:hAnsi="Frutiger LT Std 57 Cn"/>
      <w:b w:val="0"/>
      <w:caps w:val="0"/>
      <w:spacing w:val="30"/>
      <w:kern w:val="24"/>
    </w:rPr>
  </w:style>
  <w:style w:type="character" w:customStyle="1" w:styleId="Header1Char">
    <w:name w:val="Header 1 Char"/>
    <w:basedOn w:val="Heading2Char"/>
    <w:link w:val="Header1"/>
    <w:rsid w:val="00AF732F"/>
    <w:rPr>
      <w:rFonts w:ascii="Frutiger LT Std 57 Cn" w:eastAsiaTheme="majorEastAsia" w:hAnsi="Frutiger LT Std 57 Cn" w:cstheme="majorBidi"/>
      <w:b w:val="0"/>
      <w:caps w:val="0"/>
      <w:color w:val="2E74B5" w:themeColor="accent1" w:themeShade="BF"/>
      <w:spacing w:val="30"/>
      <w:kern w:val="24"/>
      <w:sz w:val="24"/>
      <w:szCs w:val="26"/>
      <w:shd w:val="clear" w:color="auto" w:fill="FFFFFF" w:themeFill="background1"/>
    </w:rPr>
  </w:style>
  <w:style w:type="character" w:customStyle="1" w:styleId="Heading2Char">
    <w:name w:val="Heading 2 Char"/>
    <w:basedOn w:val="DefaultParagraphFont"/>
    <w:link w:val="Heading2"/>
    <w:uiPriority w:val="9"/>
    <w:rsid w:val="00F2279B"/>
    <w:rPr>
      <w:rFonts w:ascii="Arial Narrow" w:hAnsi="Arial Narrow"/>
      <w:b/>
      <w:caps/>
      <w:sz w:val="24"/>
      <w:szCs w:val="24"/>
      <w:shd w:val="clear" w:color="auto" w:fill="FFFFFF" w:themeFill="background1"/>
    </w:rPr>
  </w:style>
  <w:style w:type="paragraph" w:styleId="Header">
    <w:name w:val="header"/>
    <w:basedOn w:val="Normal"/>
    <w:link w:val="HeaderChar"/>
    <w:uiPriority w:val="99"/>
    <w:unhideWhenUsed/>
    <w:rsid w:val="00F41162"/>
    <w:pPr>
      <w:tabs>
        <w:tab w:val="center" w:pos="4680"/>
        <w:tab w:val="right" w:pos="9360"/>
      </w:tabs>
      <w:spacing w:after="0" w:line="240" w:lineRule="auto"/>
    </w:pPr>
  </w:style>
  <w:style w:type="character" w:customStyle="1" w:styleId="HeaderChar">
    <w:name w:val="Header Char"/>
    <w:basedOn w:val="DefaultParagraphFont"/>
    <w:link w:val="Header"/>
    <w:uiPriority w:val="99"/>
    <w:rsid w:val="00F41162"/>
  </w:style>
  <w:style w:type="paragraph" w:styleId="Footer">
    <w:name w:val="footer"/>
    <w:basedOn w:val="Normal"/>
    <w:link w:val="FooterChar"/>
    <w:uiPriority w:val="99"/>
    <w:unhideWhenUsed/>
    <w:rsid w:val="00F41162"/>
    <w:pPr>
      <w:tabs>
        <w:tab w:val="center" w:pos="4680"/>
        <w:tab w:val="right" w:pos="9360"/>
      </w:tabs>
      <w:spacing w:after="0" w:line="240" w:lineRule="auto"/>
    </w:pPr>
  </w:style>
  <w:style w:type="character" w:customStyle="1" w:styleId="FooterChar">
    <w:name w:val="Footer Char"/>
    <w:basedOn w:val="DefaultParagraphFont"/>
    <w:link w:val="Footer"/>
    <w:uiPriority w:val="99"/>
    <w:rsid w:val="00F41162"/>
  </w:style>
  <w:style w:type="character" w:styleId="CommentReference">
    <w:name w:val="annotation reference"/>
    <w:basedOn w:val="DefaultParagraphFont"/>
    <w:uiPriority w:val="99"/>
    <w:semiHidden/>
    <w:unhideWhenUsed/>
    <w:rsid w:val="00C14039"/>
    <w:rPr>
      <w:sz w:val="16"/>
      <w:szCs w:val="16"/>
    </w:rPr>
  </w:style>
  <w:style w:type="paragraph" w:styleId="CommentText">
    <w:name w:val="annotation text"/>
    <w:basedOn w:val="Normal"/>
    <w:link w:val="CommentTextChar"/>
    <w:uiPriority w:val="99"/>
    <w:unhideWhenUsed/>
    <w:rsid w:val="00C14039"/>
    <w:pPr>
      <w:spacing w:line="240" w:lineRule="auto"/>
    </w:pPr>
    <w:rPr>
      <w:sz w:val="20"/>
      <w:szCs w:val="20"/>
    </w:rPr>
  </w:style>
  <w:style w:type="character" w:customStyle="1" w:styleId="CommentTextChar">
    <w:name w:val="Comment Text Char"/>
    <w:basedOn w:val="DefaultParagraphFont"/>
    <w:link w:val="CommentText"/>
    <w:uiPriority w:val="99"/>
    <w:rsid w:val="00C14039"/>
    <w:rPr>
      <w:sz w:val="20"/>
      <w:szCs w:val="20"/>
    </w:rPr>
  </w:style>
  <w:style w:type="table" w:styleId="TableGrid">
    <w:name w:val="Table Grid"/>
    <w:basedOn w:val="TableNormal"/>
    <w:rsid w:val="00C14039"/>
    <w:pPr>
      <w:spacing w:after="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C14039"/>
    <w:pPr>
      <w:spacing w:after="0" w:line="240" w:lineRule="auto"/>
    </w:pPr>
    <w:rPr>
      <w:rFonts w:eastAsia="MS Mincho"/>
      <w:sz w:val="20"/>
      <w:szCs w:val="20"/>
    </w:rPr>
  </w:style>
  <w:style w:type="character" w:customStyle="1" w:styleId="FootnoteTextChar">
    <w:name w:val="Footnote Text Char"/>
    <w:basedOn w:val="DefaultParagraphFont"/>
    <w:link w:val="FootnoteText"/>
    <w:uiPriority w:val="99"/>
    <w:semiHidden/>
    <w:rsid w:val="00C14039"/>
    <w:rPr>
      <w:rFonts w:eastAsia="MS Mincho"/>
      <w:sz w:val="20"/>
      <w:szCs w:val="20"/>
    </w:rPr>
  </w:style>
  <w:style w:type="character" w:styleId="FootnoteReference">
    <w:name w:val="footnote reference"/>
    <w:basedOn w:val="DefaultParagraphFont"/>
    <w:uiPriority w:val="99"/>
    <w:semiHidden/>
    <w:unhideWhenUsed/>
    <w:rsid w:val="00C14039"/>
    <w:rPr>
      <w:vertAlign w:val="superscript"/>
    </w:rPr>
  </w:style>
  <w:style w:type="character" w:styleId="Hyperlink">
    <w:name w:val="Hyperlink"/>
    <w:basedOn w:val="DefaultParagraphFont"/>
    <w:uiPriority w:val="99"/>
    <w:unhideWhenUsed/>
    <w:rsid w:val="00C14039"/>
    <w:rPr>
      <w:color w:val="0563C1" w:themeColor="hyperlink"/>
      <w:u w:val="single"/>
    </w:rPr>
  </w:style>
  <w:style w:type="paragraph" w:styleId="BalloonText">
    <w:name w:val="Balloon Text"/>
    <w:basedOn w:val="Normal"/>
    <w:link w:val="BalloonTextChar"/>
    <w:uiPriority w:val="99"/>
    <w:semiHidden/>
    <w:unhideWhenUsed/>
    <w:rsid w:val="00C1403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14039"/>
    <w:rPr>
      <w:rFonts w:ascii="Segoe UI" w:hAnsi="Segoe UI" w:cs="Segoe UI"/>
      <w:sz w:val="18"/>
      <w:szCs w:val="18"/>
    </w:rPr>
  </w:style>
  <w:style w:type="character" w:customStyle="1" w:styleId="Heading3Char">
    <w:name w:val="Heading 3 Char"/>
    <w:basedOn w:val="DefaultParagraphFont"/>
    <w:link w:val="Heading3"/>
    <w:uiPriority w:val="9"/>
    <w:rsid w:val="00F37D37"/>
    <w:rPr>
      <w:rFonts w:ascii="Arial Narrow" w:eastAsia="MS Mincho" w:hAnsi="Arial Narrow"/>
      <w:b/>
      <w:caps/>
      <w:sz w:val="24"/>
      <w:szCs w:val="24"/>
    </w:rPr>
  </w:style>
  <w:style w:type="paragraph" w:styleId="CommentSubject">
    <w:name w:val="annotation subject"/>
    <w:basedOn w:val="CommentText"/>
    <w:next w:val="CommentText"/>
    <w:link w:val="CommentSubjectChar"/>
    <w:uiPriority w:val="99"/>
    <w:semiHidden/>
    <w:unhideWhenUsed/>
    <w:rsid w:val="00CE50EA"/>
    <w:rPr>
      <w:b/>
      <w:bCs/>
    </w:rPr>
  </w:style>
  <w:style w:type="character" w:customStyle="1" w:styleId="CommentSubjectChar">
    <w:name w:val="Comment Subject Char"/>
    <w:basedOn w:val="CommentTextChar"/>
    <w:link w:val="CommentSubject"/>
    <w:uiPriority w:val="99"/>
    <w:semiHidden/>
    <w:rsid w:val="00CE50EA"/>
    <w:rPr>
      <w:b/>
      <w:bCs/>
      <w:sz w:val="20"/>
      <w:szCs w:val="20"/>
    </w:rPr>
  </w:style>
  <w:style w:type="table" w:customStyle="1" w:styleId="GridTable4-Accent31">
    <w:name w:val="Grid Table 4 - Accent 31"/>
    <w:basedOn w:val="TableNormal"/>
    <w:uiPriority w:val="49"/>
    <w:rsid w:val="00433B24"/>
    <w:pPr>
      <w:spacing w:after="0" w:line="240" w:lineRule="auto"/>
    </w:pPr>
    <w:rPr>
      <w:rFonts w:eastAsia="MS Mincho"/>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Caption">
    <w:name w:val="caption"/>
    <w:basedOn w:val="Normal"/>
    <w:next w:val="Normal"/>
    <w:unhideWhenUsed/>
    <w:qFormat/>
    <w:rsid w:val="00B74ED0"/>
    <w:pPr>
      <w:keepNext/>
      <w:spacing w:after="200" w:line="240" w:lineRule="auto"/>
    </w:pPr>
    <w:rPr>
      <w:rFonts w:ascii="Arial Narrow" w:hAnsi="Arial Narrow"/>
      <w:i/>
      <w:iCs/>
    </w:rPr>
  </w:style>
  <w:style w:type="character" w:customStyle="1" w:styleId="Heading1Char">
    <w:name w:val="Heading 1 Char"/>
    <w:basedOn w:val="DefaultParagraphFont"/>
    <w:link w:val="Heading1"/>
    <w:uiPriority w:val="9"/>
    <w:rsid w:val="00E72FFD"/>
    <w:rPr>
      <w:rFonts w:ascii="Arial Narrow" w:hAnsi="Arial Narrow"/>
      <w:b/>
      <w:caps/>
      <w:spacing w:val="30"/>
      <w:kern w:val="24"/>
      <w:sz w:val="32"/>
      <w:szCs w:val="24"/>
      <w:shd w:val="clear" w:color="auto" w:fill="FFFFFF" w:themeFill="background1"/>
    </w:rPr>
  </w:style>
  <w:style w:type="character" w:customStyle="1" w:styleId="Heading4Char">
    <w:name w:val="Heading 4 Char"/>
    <w:basedOn w:val="DefaultParagraphFont"/>
    <w:link w:val="Heading4"/>
    <w:uiPriority w:val="9"/>
    <w:semiHidden/>
    <w:rsid w:val="009D1653"/>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9D1653"/>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9D1653"/>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9D1653"/>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9D1653"/>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D1653"/>
    <w:rPr>
      <w:rFonts w:asciiTheme="majorHAnsi" w:eastAsiaTheme="majorEastAsia" w:hAnsiTheme="majorHAnsi" w:cstheme="majorBidi"/>
      <w:i/>
      <w:iCs/>
      <w:color w:val="272727" w:themeColor="text1" w:themeTint="D8"/>
      <w:sz w:val="21"/>
      <w:szCs w:val="21"/>
    </w:rPr>
  </w:style>
  <w:style w:type="table" w:customStyle="1" w:styleId="GridTable4-Accent51">
    <w:name w:val="Grid Table 4 - Accent 51"/>
    <w:basedOn w:val="TableNormal"/>
    <w:uiPriority w:val="49"/>
    <w:rsid w:val="007F6676"/>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4-Accent61">
    <w:name w:val="Grid Table 4 - Accent 61"/>
    <w:basedOn w:val="TableNormal"/>
    <w:uiPriority w:val="49"/>
    <w:rsid w:val="007E22B5"/>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GridTable4-Accent41">
    <w:name w:val="Grid Table 4 - Accent 41"/>
    <w:basedOn w:val="TableNormal"/>
    <w:uiPriority w:val="49"/>
    <w:rsid w:val="00ED6716"/>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4-Accent11">
    <w:name w:val="Grid Table 4 - Accent 11"/>
    <w:basedOn w:val="TableNormal"/>
    <w:uiPriority w:val="49"/>
    <w:rsid w:val="009E5D83"/>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OC1">
    <w:name w:val="toc 1"/>
    <w:basedOn w:val="Normal"/>
    <w:next w:val="Normal"/>
    <w:autoRedefine/>
    <w:uiPriority w:val="39"/>
    <w:unhideWhenUsed/>
    <w:rsid w:val="00DB29B4"/>
    <w:pPr>
      <w:tabs>
        <w:tab w:val="left" w:pos="440"/>
        <w:tab w:val="right" w:leader="dot" w:pos="9350"/>
      </w:tabs>
      <w:spacing w:before="120" w:after="120"/>
    </w:pPr>
    <w:rPr>
      <w:rFonts w:ascii="Arial Narrow" w:hAnsi="Arial Narrow"/>
      <w:b/>
      <w:bCs/>
      <w:caps/>
      <w:sz w:val="32"/>
      <w:szCs w:val="20"/>
    </w:rPr>
  </w:style>
  <w:style w:type="paragraph" w:styleId="TOC2">
    <w:name w:val="toc 2"/>
    <w:basedOn w:val="Normal"/>
    <w:next w:val="Normal"/>
    <w:autoRedefine/>
    <w:uiPriority w:val="39"/>
    <w:unhideWhenUsed/>
    <w:rsid w:val="00DB29B4"/>
    <w:pPr>
      <w:spacing w:after="0"/>
      <w:ind w:left="220"/>
    </w:pPr>
    <w:rPr>
      <w:smallCaps/>
      <w:sz w:val="20"/>
      <w:szCs w:val="20"/>
    </w:rPr>
  </w:style>
  <w:style w:type="paragraph" w:styleId="TOC3">
    <w:name w:val="toc 3"/>
    <w:basedOn w:val="Normal"/>
    <w:next w:val="Normal"/>
    <w:autoRedefine/>
    <w:uiPriority w:val="39"/>
    <w:unhideWhenUsed/>
    <w:rsid w:val="00DB29B4"/>
    <w:pPr>
      <w:spacing w:after="0"/>
      <w:ind w:left="440"/>
    </w:pPr>
    <w:rPr>
      <w:i/>
      <w:iCs/>
      <w:sz w:val="20"/>
      <w:szCs w:val="20"/>
    </w:rPr>
  </w:style>
  <w:style w:type="paragraph" w:styleId="TOC4">
    <w:name w:val="toc 4"/>
    <w:basedOn w:val="Normal"/>
    <w:next w:val="Normal"/>
    <w:autoRedefine/>
    <w:uiPriority w:val="39"/>
    <w:unhideWhenUsed/>
    <w:rsid w:val="00DB29B4"/>
    <w:pPr>
      <w:spacing w:after="0"/>
      <w:ind w:left="660"/>
    </w:pPr>
    <w:rPr>
      <w:sz w:val="18"/>
      <w:szCs w:val="18"/>
    </w:rPr>
  </w:style>
  <w:style w:type="paragraph" w:styleId="TOC5">
    <w:name w:val="toc 5"/>
    <w:basedOn w:val="Normal"/>
    <w:next w:val="Normal"/>
    <w:autoRedefine/>
    <w:uiPriority w:val="39"/>
    <w:unhideWhenUsed/>
    <w:rsid w:val="00DB29B4"/>
    <w:pPr>
      <w:spacing w:after="0"/>
      <w:ind w:left="880"/>
    </w:pPr>
    <w:rPr>
      <w:sz w:val="18"/>
      <w:szCs w:val="18"/>
    </w:rPr>
  </w:style>
  <w:style w:type="paragraph" w:styleId="TOC6">
    <w:name w:val="toc 6"/>
    <w:basedOn w:val="Normal"/>
    <w:next w:val="Normal"/>
    <w:autoRedefine/>
    <w:uiPriority w:val="39"/>
    <w:unhideWhenUsed/>
    <w:rsid w:val="00DB29B4"/>
    <w:pPr>
      <w:spacing w:after="0"/>
      <w:ind w:left="1100"/>
    </w:pPr>
    <w:rPr>
      <w:sz w:val="18"/>
      <w:szCs w:val="18"/>
    </w:rPr>
  </w:style>
  <w:style w:type="paragraph" w:styleId="TOC7">
    <w:name w:val="toc 7"/>
    <w:basedOn w:val="Normal"/>
    <w:next w:val="Normal"/>
    <w:autoRedefine/>
    <w:uiPriority w:val="39"/>
    <w:unhideWhenUsed/>
    <w:rsid w:val="00DB29B4"/>
    <w:pPr>
      <w:spacing w:after="0"/>
      <w:ind w:left="1320"/>
    </w:pPr>
    <w:rPr>
      <w:sz w:val="18"/>
      <w:szCs w:val="18"/>
    </w:rPr>
  </w:style>
  <w:style w:type="paragraph" w:styleId="TOC8">
    <w:name w:val="toc 8"/>
    <w:basedOn w:val="Normal"/>
    <w:next w:val="Normal"/>
    <w:autoRedefine/>
    <w:uiPriority w:val="39"/>
    <w:unhideWhenUsed/>
    <w:rsid w:val="00DB29B4"/>
    <w:pPr>
      <w:spacing w:after="0"/>
      <w:ind w:left="1540"/>
    </w:pPr>
    <w:rPr>
      <w:sz w:val="18"/>
      <w:szCs w:val="18"/>
    </w:rPr>
  </w:style>
  <w:style w:type="paragraph" w:styleId="TOC9">
    <w:name w:val="toc 9"/>
    <w:basedOn w:val="Normal"/>
    <w:next w:val="Normal"/>
    <w:autoRedefine/>
    <w:uiPriority w:val="39"/>
    <w:unhideWhenUsed/>
    <w:rsid w:val="00DB29B4"/>
    <w:pPr>
      <w:spacing w:after="0"/>
      <w:ind w:left="1760"/>
    </w:pPr>
    <w:rPr>
      <w:sz w:val="18"/>
      <w:szCs w:val="18"/>
    </w:rPr>
  </w:style>
  <w:style w:type="paragraph" w:styleId="NormalWeb">
    <w:name w:val="Normal (Web)"/>
    <w:basedOn w:val="Normal"/>
    <w:uiPriority w:val="99"/>
    <w:unhideWhenUsed/>
    <w:rsid w:val="00940830"/>
    <w:pPr>
      <w:spacing w:before="100" w:beforeAutospacing="1" w:after="100" w:afterAutospacing="1" w:line="240" w:lineRule="auto"/>
    </w:pPr>
    <w:rPr>
      <w:rFonts w:ascii="Times New Roman" w:eastAsiaTheme="minorEastAsia" w:hAnsi="Times New Roman" w:cs="Times New Roman"/>
      <w:sz w:val="24"/>
      <w:szCs w:val="24"/>
      <w:lang w:eastAsia="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5613988">
      <w:bodyDiv w:val="1"/>
      <w:marLeft w:val="0"/>
      <w:marRight w:val="0"/>
      <w:marTop w:val="0"/>
      <w:marBottom w:val="0"/>
      <w:divBdr>
        <w:top w:val="none" w:sz="0" w:space="0" w:color="auto"/>
        <w:left w:val="none" w:sz="0" w:space="0" w:color="auto"/>
        <w:bottom w:val="none" w:sz="0" w:space="0" w:color="auto"/>
        <w:right w:val="none" w:sz="0" w:space="0" w:color="auto"/>
      </w:divBdr>
    </w:div>
    <w:div w:id="222183893">
      <w:bodyDiv w:val="1"/>
      <w:marLeft w:val="0"/>
      <w:marRight w:val="0"/>
      <w:marTop w:val="0"/>
      <w:marBottom w:val="0"/>
      <w:divBdr>
        <w:top w:val="none" w:sz="0" w:space="0" w:color="auto"/>
        <w:left w:val="none" w:sz="0" w:space="0" w:color="auto"/>
        <w:bottom w:val="none" w:sz="0" w:space="0" w:color="auto"/>
        <w:right w:val="none" w:sz="0" w:space="0" w:color="auto"/>
      </w:divBdr>
    </w:div>
    <w:div w:id="336731584">
      <w:bodyDiv w:val="1"/>
      <w:marLeft w:val="0"/>
      <w:marRight w:val="0"/>
      <w:marTop w:val="0"/>
      <w:marBottom w:val="0"/>
      <w:divBdr>
        <w:top w:val="none" w:sz="0" w:space="0" w:color="auto"/>
        <w:left w:val="none" w:sz="0" w:space="0" w:color="auto"/>
        <w:bottom w:val="none" w:sz="0" w:space="0" w:color="auto"/>
        <w:right w:val="none" w:sz="0" w:space="0" w:color="auto"/>
      </w:divBdr>
    </w:div>
    <w:div w:id="766772576">
      <w:bodyDiv w:val="1"/>
      <w:marLeft w:val="0"/>
      <w:marRight w:val="0"/>
      <w:marTop w:val="0"/>
      <w:marBottom w:val="0"/>
      <w:divBdr>
        <w:top w:val="none" w:sz="0" w:space="0" w:color="auto"/>
        <w:left w:val="none" w:sz="0" w:space="0" w:color="auto"/>
        <w:bottom w:val="none" w:sz="0" w:space="0" w:color="auto"/>
        <w:right w:val="none" w:sz="0" w:space="0" w:color="auto"/>
      </w:divBdr>
    </w:div>
    <w:div w:id="786899115">
      <w:bodyDiv w:val="1"/>
      <w:marLeft w:val="0"/>
      <w:marRight w:val="0"/>
      <w:marTop w:val="0"/>
      <w:marBottom w:val="0"/>
      <w:divBdr>
        <w:top w:val="none" w:sz="0" w:space="0" w:color="auto"/>
        <w:left w:val="none" w:sz="0" w:space="0" w:color="auto"/>
        <w:bottom w:val="none" w:sz="0" w:space="0" w:color="auto"/>
        <w:right w:val="none" w:sz="0" w:space="0" w:color="auto"/>
      </w:divBdr>
    </w:div>
    <w:div w:id="820728307">
      <w:bodyDiv w:val="1"/>
      <w:marLeft w:val="0"/>
      <w:marRight w:val="0"/>
      <w:marTop w:val="0"/>
      <w:marBottom w:val="0"/>
      <w:divBdr>
        <w:top w:val="none" w:sz="0" w:space="0" w:color="auto"/>
        <w:left w:val="none" w:sz="0" w:space="0" w:color="auto"/>
        <w:bottom w:val="none" w:sz="0" w:space="0" w:color="auto"/>
        <w:right w:val="none" w:sz="0" w:space="0" w:color="auto"/>
      </w:divBdr>
    </w:div>
    <w:div w:id="1294404326">
      <w:bodyDiv w:val="1"/>
      <w:marLeft w:val="0"/>
      <w:marRight w:val="0"/>
      <w:marTop w:val="0"/>
      <w:marBottom w:val="0"/>
      <w:divBdr>
        <w:top w:val="none" w:sz="0" w:space="0" w:color="auto"/>
        <w:left w:val="none" w:sz="0" w:space="0" w:color="auto"/>
        <w:bottom w:val="none" w:sz="0" w:space="0" w:color="auto"/>
        <w:right w:val="none" w:sz="0" w:space="0" w:color="auto"/>
      </w:divBdr>
    </w:div>
    <w:div w:id="1844851516">
      <w:bodyDiv w:val="1"/>
      <w:marLeft w:val="0"/>
      <w:marRight w:val="0"/>
      <w:marTop w:val="0"/>
      <w:marBottom w:val="0"/>
      <w:divBdr>
        <w:top w:val="none" w:sz="0" w:space="0" w:color="auto"/>
        <w:left w:val="none" w:sz="0" w:space="0" w:color="auto"/>
        <w:bottom w:val="none" w:sz="0" w:space="0" w:color="auto"/>
        <w:right w:val="none" w:sz="0" w:space="0" w:color="auto"/>
      </w:divBdr>
    </w:div>
    <w:div w:id="1931573640">
      <w:bodyDiv w:val="1"/>
      <w:marLeft w:val="0"/>
      <w:marRight w:val="0"/>
      <w:marTop w:val="0"/>
      <w:marBottom w:val="0"/>
      <w:divBdr>
        <w:top w:val="none" w:sz="0" w:space="0" w:color="auto"/>
        <w:left w:val="none" w:sz="0" w:space="0" w:color="auto"/>
        <w:bottom w:val="none" w:sz="0" w:space="0" w:color="auto"/>
        <w:right w:val="none" w:sz="0" w:space="0" w:color="auto"/>
      </w:divBdr>
    </w:div>
    <w:div w:id="21325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F760D3-F06D-4A94-8DB0-8863169E9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26</Pages>
  <Words>8885</Words>
  <Characters>50650</Characters>
  <Application>Microsoft Office Word</Application>
  <DocSecurity>0</DocSecurity>
  <Lines>422</Lines>
  <Paragraphs>118</Paragraphs>
  <ScaleCrop>false</ScaleCrop>
  <HeadingPairs>
    <vt:vector size="2" baseType="variant">
      <vt:variant>
        <vt:lpstr>Title</vt:lpstr>
      </vt:variant>
      <vt:variant>
        <vt:i4>1</vt:i4>
      </vt:variant>
    </vt:vector>
  </HeadingPairs>
  <TitlesOfParts>
    <vt:vector size="1" baseType="lpstr">
      <vt:lpstr/>
    </vt:vector>
  </TitlesOfParts>
  <Company>Integral Group</Company>
  <LinksUpToDate>false</LinksUpToDate>
  <CharactersWithSpaces>59417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Lisa Westerhoff;Maxwell Sykes</dc:creator>
  <cp:lastModifiedBy>Maxwell Sykes</cp:lastModifiedBy>
  <cp:revision>5</cp:revision>
  <cp:lastPrinted>2016-08-31T02:40:00Z</cp:lastPrinted>
  <dcterms:created xsi:type="dcterms:W3CDTF">2016-08-31T02:38:00Z</dcterms:created>
  <dcterms:modified xsi:type="dcterms:W3CDTF">2016-08-31T02:42:00Z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-1815088163</vt:i4>
  </property>
</Properties>
</file>